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hint="default" w:eastAsia="方正小标宋简体"/>
          <w:bCs/>
          <w:sz w:val="36"/>
          <w:szCs w:val="36"/>
          <w:lang w:val="en-US" w:eastAsia="zh-CN"/>
        </w:rPr>
      </w:pPr>
      <w:bookmarkStart w:id="0" w:name="OLE_LINK1"/>
      <w:bookmarkStart w:id="1" w:name="OLE_LINK2"/>
      <w:bookmarkStart w:id="2" w:name="OLE_LINK4"/>
      <w:bookmarkStart w:id="3" w:name="OLE_LINK3"/>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w:t>
      </w:r>
      <w:r>
        <w:rPr>
          <w:rFonts w:hint="eastAsia" w:eastAsia="方正小标宋简体"/>
          <w:bCs/>
          <w:color w:val="FF0000"/>
          <w:sz w:val="44"/>
          <w:szCs w:val="44"/>
          <w:lang w:eastAsia="zh-CN"/>
        </w:rPr>
        <w:t>科研条件不符合</w:t>
      </w:r>
      <w:r>
        <w:rPr>
          <w:rFonts w:hint="eastAsia" w:eastAsia="方正小标宋简体"/>
          <w:bCs/>
          <w:sz w:val="44"/>
          <w:szCs w:val="44"/>
        </w:rPr>
        <w:t>）</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 </w:t>
      </w:r>
      <w:r>
        <w:rPr>
          <w:rFonts w:hint="eastAsia"/>
          <w:b/>
          <w:bCs/>
          <w:szCs w:val="21"/>
          <w:lang w:val="en-US" w:eastAsia="zh-CN"/>
        </w:rPr>
        <w:t xml:space="preserve">王  勇   </w:t>
      </w:r>
      <w:r>
        <w:rPr>
          <w:rFonts w:hint="eastAsia"/>
          <w:b/>
          <w:bCs/>
          <w:szCs w:val="21"/>
        </w:rPr>
        <w:t xml:space="preserve">   性别：  </w:t>
      </w:r>
      <w:r>
        <w:rPr>
          <w:rFonts w:hint="eastAsia"/>
          <w:b/>
          <w:bCs/>
          <w:szCs w:val="21"/>
          <w:lang w:val="en-US" w:eastAsia="zh-CN"/>
        </w:rPr>
        <w:t>男</w:t>
      </w:r>
      <w:r>
        <w:rPr>
          <w:rFonts w:hint="eastAsia"/>
          <w:b/>
          <w:bCs/>
          <w:szCs w:val="21"/>
        </w:rPr>
        <w:t xml:space="preserve">     申报职称及类型：</w:t>
      </w:r>
      <w:r>
        <w:rPr>
          <w:rFonts w:hint="eastAsia"/>
          <w:b/>
          <w:bCs/>
          <w:szCs w:val="21"/>
          <w:lang w:val="en-US" w:eastAsia="zh-CN"/>
        </w:rPr>
        <w:t xml:space="preserve">  教授，高校教师系列     </w:t>
      </w:r>
      <w:r>
        <w:rPr>
          <w:rFonts w:hint="eastAsia"/>
          <w:b/>
          <w:bCs/>
          <w:szCs w:val="21"/>
        </w:rPr>
        <w:t xml:space="preserve">  申报所属学科（专业）： </w:t>
      </w:r>
      <w:r>
        <w:rPr>
          <w:rFonts w:hint="eastAsia"/>
          <w:b/>
          <w:bCs/>
          <w:szCs w:val="21"/>
          <w:lang w:val="en-US" w:eastAsia="zh-CN"/>
        </w:rPr>
        <w:t xml:space="preserve">学生思想政治教育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576"/>
        <w:gridCol w:w="1357"/>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576" w:type="dxa"/>
            <w:vAlign w:val="center"/>
          </w:tcPr>
          <w:p w14:paraId="1503E5FE">
            <w:pPr>
              <w:adjustRightInd w:val="0"/>
              <w:snapToGrid w:val="0"/>
              <w:spacing w:line="276" w:lineRule="auto"/>
              <w:jc w:val="center"/>
              <w:rPr>
                <w:szCs w:val="21"/>
              </w:rPr>
            </w:pPr>
            <w:r>
              <w:rPr>
                <w:rFonts w:hint="eastAsia"/>
                <w:szCs w:val="21"/>
              </w:rPr>
              <w:t>毕业学校</w:t>
            </w:r>
          </w:p>
        </w:tc>
        <w:tc>
          <w:tcPr>
            <w:tcW w:w="1357"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szCs w:val="21"/>
              </w:rPr>
            </w:pPr>
          </w:p>
        </w:tc>
        <w:tc>
          <w:tcPr>
            <w:tcW w:w="1655" w:type="dxa"/>
            <w:vAlign w:val="center"/>
          </w:tcPr>
          <w:p w14:paraId="338B6C8E">
            <w:pPr>
              <w:adjustRightInd w:val="0"/>
              <w:snapToGrid w:val="0"/>
              <w:spacing w:line="276" w:lineRule="auto"/>
              <w:jc w:val="center"/>
              <w:rPr>
                <w:szCs w:val="21"/>
              </w:rPr>
            </w:pPr>
          </w:p>
        </w:tc>
        <w:tc>
          <w:tcPr>
            <w:tcW w:w="1180" w:type="dxa"/>
            <w:vAlign w:val="center"/>
          </w:tcPr>
          <w:p w14:paraId="226F5EBD">
            <w:pPr>
              <w:adjustRightInd w:val="0"/>
              <w:snapToGrid w:val="0"/>
              <w:spacing w:line="276" w:lineRule="auto"/>
              <w:jc w:val="center"/>
              <w:rPr>
                <w:rFonts w:hint="eastAsia" w:eastAsia="宋体"/>
                <w:szCs w:val="21"/>
                <w:lang w:eastAsia="zh-CN"/>
              </w:rPr>
            </w:pPr>
            <w:r>
              <w:rPr>
                <w:rFonts w:hint="eastAsia"/>
                <w:szCs w:val="21"/>
                <w:lang w:eastAsia="zh-CN"/>
              </w:rPr>
              <w:t>本科</w:t>
            </w:r>
          </w:p>
        </w:tc>
        <w:tc>
          <w:tcPr>
            <w:tcW w:w="2576" w:type="dxa"/>
            <w:vAlign w:val="center"/>
          </w:tcPr>
          <w:p w14:paraId="021F323E">
            <w:pPr>
              <w:adjustRightInd w:val="0"/>
              <w:snapToGrid w:val="0"/>
              <w:spacing w:line="276" w:lineRule="auto"/>
              <w:jc w:val="center"/>
              <w:rPr>
                <w:rFonts w:hint="eastAsia" w:eastAsia="宋体"/>
                <w:szCs w:val="21"/>
                <w:lang w:eastAsia="zh-CN"/>
              </w:rPr>
            </w:pPr>
            <w:r>
              <w:rPr>
                <w:rFonts w:hint="eastAsia"/>
                <w:szCs w:val="21"/>
                <w:lang w:eastAsia="zh-CN"/>
              </w:rPr>
              <w:t>湖南师大</w:t>
            </w:r>
          </w:p>
        </w:tc>
        <w:tc>
          <w:tcPr>
            <w:tcW w:w="1357" w:type="dxa"/>
            <w:vAlign w:val="center"/>
          </w:tcPr>
          <w:p w14:paraId="0D1A0DCB">
            <w:pPr>
              <w:adjustRightInd w:val="0"/>
              <w:snapToGrid w:val="0"/>
              <w:spacing w:line="276" w:lineRule="auto"/>
              <w:jc w:val="center"/>
              <w:rPr>
                <w:rFonts w:hint="default" w:eastAsia="宋体"/>
                <w:szCs w:val="21"/>
                <w:lang w:val="en-US" w:eastAsia="zh-CN"/>
              </w:rPr>
            </w:pPr>
            <w:r>
              <w:rPr>
                <w:rFonts w:hint="eastAsia"/>
                <w:szCs w:val="21"/>
                <w:lang w:val="en-US" w:eastAsia="zh-CN"/>
              </w:rPr>
              <w:t>汉语言文学</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1999.12</w:t>
            </w:r>
          </w:p>
        </w:tc>
        <w:tc>
          <w:tcPr>
            <w:tcW w:w="1187" w:type="dxa"/>
            <w:vAlign w:val="center"/>
          </w:tcPr>
          <w:p w14:paraId="5A7CFCD9">
            <w:pPr>
              <w:adjustRightInd w:val="0"/>
              <w:snapToGrid w:val="0"/>
              <w:spacing w:line="276" w:lineRule="auto"/>
              <w:jc w:val="center"/>
              <w:rPr>
                <w:szCs w:val="21"/>
              </w:rPr>
            </w:pPr>
          </w:p>
        </w:tc>
        <w:tc>
          <w:tcPr>
            <w:tcW w:w="2201" w:type="dxa"/>
            <w:vAlign w:val="center"/>
          </w:tcPr>
          <w:p w14:paraId="58890F95">
            <w:pPr>
              <w:adjustRightInd w:val="0"/>
              <w:snapToGrid w:val="0"/>
              <w:spacing w:line="276" w:lineRule="auto"/>
              <w:jc w:val="center"/>
              <w:rPr>
                <w:szCs w:val="21"/>
              </w:rPr>
            </w:pPr>
          </w:p>
        </w:tc>
        <w:tc>
          <w:tcPr>
            <w:tcW w:w="1186" w:type="dxa"/>
            <w:vAlign w:val="center"/>
          </w:tcPr>
          <w:p w14:paraId="16C4107A">
            <w:pPr>
              <w:adjustRightInd w:val="0"/>
              <w:snapToGrid w:val="0"/>
              <w:spacing w:line="276" w:lineRule="auto"/>
              <w:jc w:val="center"/>
              <w:rPr>
                <w:szCs w:val="21"/>
              </w:rPr>
            </w:pPr>
          </w:p>
        </w:tc>
        <w:tc>
          <w:tcPr>
            <w:tcW w:w="1247" w:type="dxa"/>
            <w:vAlign w:val="center"/>
          </w:tcPr>
          <w:p w14:paraId="3D3F2A89">
            <w:pPr>
              <w:adjustRightInd w:val="0"/>
              <w:snapToGrid w:val="0"/>
              <w:spacing w:line="276" w:lineRule="auto"/>
              <w:jc w:val="center"/>
              <w:rPr>
                <w:szCs w:val="21"/>
              </w:rPr>
            </w:pPr>
          </w:p>
        </w:tc>
        <w:tc>
          <w:tcPr>
            <w:tcW w:w="3258" w:type="dxa"/>
            <w:gridSpan w:val="3"/>
            <w:vAlign w:val="center"/>
          </w:tcPr>
          <w:p w14:paraId="4FA86394">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A6A6A6" w:themeColor="background1" w:themeShade="A6"/>
                <w:szCs w:val="21"/>
                <w:lang w:val="en-US" w:eastAsia="zh-CN"/>
              </w:rPr>
              <w:t>永州开放大学副校长，学生思想政治教育</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45B5723A">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202</w:t>
            </w:r>
            <w:r>
              <w:rPr>
                <w:rFonts w:hint="eastAsia"/>
                <w:color w:val="auto"/>
                <w:szCs w:val="21"/>
                <w:lang w:val="en-US" w:eastAsia="zh-CN"/>
              </w:rPr>
              <w:t>2</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val="en-US" w:eastAsia="zh-CN"/>
              </w:rPr>
              <w:t>湖南省政协反映社情民意工作先进个人</w:t>
            </w:r>
            <w:r>
              <w:rPr>
                <w:rFonts w:hint="eastAsia"/>
                <w:color w:val="auto"/>
                <w:szCs w:val="21"/>
              </w:rPr>
              <w:t>，</w:t>
            </w:r>
            <w:r>
              <w:rPr>
                <w:rFonts w:hint="eastAsia"/>
                <w:color w:val="auto"/>
                <w:szCs w:val="21"/>
                <w:lang w:val="en-US" w:eastAsia="zh-CN"/>
              </w:rPr>
              <w:t xml:space="preserve">                       省政协办公厅</w:t>
            </w:r>
            <w:r>
              <w:rPr>
                <w:rFonts w:hint="eastAsia"/>
                <w:color w:val="auto"/>
                <w:szCs w:val="21"/>
              </w:rPr>
              <w:t>，计</w:t>
            </w:r>
            <w:r>
              <w:rPr>
                <w:rFonts w:hint="eastAsia"/>
                <w:color w:val="auto"/>
                <w:szCs w:val="21"/>
                <w:lang w:val="en-US" w:eastAsia="zh-CN"/>
              </w:rPr>
              <w:t>12</w:t>
            </w:r>
            <w:r>
              <w:rPr>
                <w:rFonts w:hint="eastAsia"/>
                <w:color w:val="auto"/>
                <w:szCs w:val="21"/>
              </w:rPr>
              <w:t>分；</w:t>
            </w:r>
          </w:p>
          <w:p w14:paraId="6E9B9B4D">
            <w:pPr>
              <w:adjustRightInd w:val="0"/>
              <w:snapToGrid w:val="0"/>
              <w:spacing w:line="276" w:lineRule="auto"/>
              <w:rPr>
                <w:rFonts w:hint="eastAsia"/>
                <w:color w:val="auto"/>
                <w:szCs w:val="21"/>
              </w:rPr>
            </w:pPr>
            <w:r>
              <w:rPr>
                <w:rFonts w:hint="eastAsia"/>
                <w:color w:val="auto"/>
                <w:szCs w:val="21"/>
                <w:lang w:val="en-US" w:eastAsia="zh-CN"/>
              </w:rPr>
              <w:t>2）2023年12月，湖南省政协反映社情民意工作先进个人，                       省政协办公厅</w:t>
            </w:r>
            <w:r>
              <w:rPr>
                <w:rFonts w:hint="eastAsia"/>
                <w:color w:val="auto"/>
                <w:szCs w:val="21"/>
              </w:rPr>
              <w:t>，计</w:t>
            </w:r>
            <w:r>
              <w:rPr>
                <w:rFonts w:hint="eastAsia"/>
                <w:color w:val="auto"/>
                <w:szCs w:val="21"/>
                <w:lang w:val="en-US" w:eastAsia="zh-CN"/>
              </w:rPr>
              <w:t>12</w:t>
            </w:r>
            <w:r>
              <w:rPr>
                <w:rFonts w:hint="eastAsia"/>
                <w:color w:val="auto"/>
                <w:szCs w:val="21"/>
              </w:rPr>
              <w:t>分；</w:t>
            </w:r>
          </w:p>
          <w:p w14:paraId="5C46E45B">
            <w:pPr>
              <w:adjustRightInd w:val="0"/>
              <w:snapToGrid w:val="0"/>
              <w:spacing w:line="276" w:lineRule="auto"/>
              <w:rPr>
                <w:rFonts w:hint="eastAsia"/>
                <w:color w:val="auto"/>
                <w:szCs w:val="21"/>
                <w:lang w:val="en-US" w:eastAsia="zh-CN"/>
              </w:rPr>
            </w:pPr>
            <w:r>
              <w:rPr>
                <w:rFonts w:hint="eastAsia"/>
                <w:color w:val="auto"/>
                <w:szCs w:val="21"/>
                <w:lang w:val="en-US" w:eastAsia="zh-CN"/>
              </w:rPr>
              <w:t>3</w:t>
            </w:r>
            <w:r>
              <w:rPr>
                <w:rFonts w:hint="eastAsia"/>
                <w:color w:val="auto"/>
                <w:szCs w:val="21"/>
                <w:lang w:eastAsia="zh-CN"/>
              </w:rPr>
              <w:t>）</w:t>
            </w:r>
            <w:r>
              <w:rPr>
                <w:rFonts w:hint="eastAsia"/>
                <w:color w:val="auto"/>
                <w:szCs w:val="21"/>
                <w:lang w:val="en-US" w:eastAsia="zh-CN"/>
              </w:rPr>
              <w:t>2024年1月，“新永州</w:t>
            </w:r>
            <w:r>
              <w:rPr>
                <w:rFonts w:hint="eastAsia" w:ascii="宋体" w:hAnsi="宋体" w:eastAsia="宋体" w:cs="宋体"/>
                <w:color w:val="auto"/>
                <w:szCs w:val="21"/>
                <w:lang w:val="en-US" w:eastAsia="zh-CN"/>
              </w:rPr>
              <w:t>·</w:t>
            </w:r>
            <w:r>
              <w:rPr>
                <w:rFonts w:hint="eastAsia"/>
                <w:color w:val="auto"/>
                <w:szCs w:val="21"/>
                <w:lang w:val="en-US" w:eastAsia="zh-CN"/>
              </w:rPr>
              <w:t>新青年 逐梦新时代”文化艺术展演“优秀青年志愿者”，共青团永州市委，计6分</w:t>
            </w:r>
          </w:p>
          <w:p w14:paraId="22B4B9B4">
            <w:pPr>
              <w:pStyle w:val="2"/>
              <w:rPr>
                <w:rFonts w:hint="default"/>
                <w:lang w:val="en-US" w:eastAsia="zh-CN"/>
              </w:rPr>
            </w:pPr>
            <w:r>
              <w:rPr>
                <w:rFonts w:hint="eastAsia"/>
                <w:color w:val="auto"/>
                <w:szCs w:val="21"/>
                <w:lang w:val="en-US" w:eastAsia="zh-CN"/>
              </w:rPr>
              <w:t>4）2020年4月，永州市政协机关“文明家庭”                            永州市政协，计6分</w:t>
            </w:r>
          </w:p>
        </w:tc>
        <w:tc>
          <w:tcPr>
            <w:tcW w:w="1200" w:type="dxa"/>
            <w:vAlign w:val="center"/>
          </w:tcPr>
          <w:p w14:paraId="0068EE75">
            <w:pPr>
              <w:adjustRightInd w:val="0"/>
              <w:snapToGrid w:val="0"/>
              <w:spacing w:line="276" w:lineRule="auto"/>
              <w:jc w:val="center"/>
              <w:rPr>
                <w:rFonts w:hint="default" w:eastAsia="宋体"/>
                <w:szCs w:val="21"/>
                <w:lang w:val="en-US" w:eastAsia="zh-CN"/>
              </w:rPr>
            </w:pPr>
            <w:r>
              <w:rPr>
                <w:rFonts w:hint="eastAsia"/>
                <w:szCs w:val="21"/>
                <w:lang w:val="en-US" w:eastAsia="zh-CN"/>
              </w:rPr>
              <w:t>36</w:t>
            </w:r>
          </w:p>
        </w:tc>
        <w:tc>
          <w:tcPr>
            <w:tcW w:w="1274" w:type="dxa"/>
            <w:vAlign w:val="center"/>
          </w:tcPr>
          <w:p w14:paraId="1D01416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36</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7FF19BDE">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b/>
                <w:bCs/>
                <w:color w:val="000000" w:themeColor="text1"/>
                <w:szCs w:val="21"/>
                <w:lang w:val="en-US" w:eastAsia="zh-CN"/>
                <w14:textFill>
                  <w14:solidFill>
                    <w14:schemeClr w14:val="tx1"/>
                  </w14:solidFill>
                </w14:textFill>
              </w:rPr>
              <w:t>无</w:t>
            </w:r>
          </w:p>
        </w:tc>
        <w:tc>
          <w:tcPr>
            <w:tcW w:w="1200" w:type="dxa"/>
            <w:vAlign w:val="center"/>
          </w:tcPr>
          <w:p w14:paraId="3E8B912A">
            <w:pPr>
              <w:adjustRightInd w:val="0"/>
              <w:snapToGrid w:val="0"/>
              <w:spacing w:line="276" w:lineRule="auto"/>
              <w:jc w:val="center"/>
              <w:rPr>
                <w:szCs w:val="21"/>
              </w:rPr>
            </w:pP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1E725990">
            <w:pPr>
              <w:adjustRightInd w:val="0"/>
              <w:snapToGrid w:val="0"/>
              <w:spacing w:line="276" w:lineRule="auto"/>
              <w:rPr>
                <w:rFonts w:hint="eastAsia"/>
                <w:color w:val="auto"/>
                <w:szCs w:val="21"/>
                <w:lang w:val="en-US" w:eastAsia="zh-CN"/>
              </w:rPr>
            </w:pPr>
            <w:r>
              <w:rPr>
                <w:rFonts w:hint="eastAsia"/>
                <w:b/>
                <w:bCs/>
                <w:color w:val="auto"/>
                <w:szCs w:val="21"/>
                <w:lang w:val="en-US" w:eastAsia="zh-CN"/>
              </w:rPr>
              <w:t>开放教育办学体系获奖情况</w:t>
            </w:r>
            <w:r>
              <w:rPr>
                <w:rFonts w:hint="eastAsia"/>
                <w:color w:val="auto"/>
                <w:szCs w:val="21"/>
                <w:lang w:val="en-US" w:eastAsia="zh-CN"/>
              </w:rPr>
              <w:t>：</w:t>
            </w:r>
          </w:p>
          <w:p w14:paraId="195FBA70">
            <w:pPr>
              <w:adjustRightInd w:val="0"/>
              <w:snapToGrid w:val="0"/>
              <w:spacing w:line="276" w:lineRule="auto"/>
              <w:rPr>
                <w:rFonts w:hint="eastAsia"/>
                <w:color w:val="auto"/>
                <w:szCs w:val="21"/>
                <w:lang w:val="en-US" w:eastAsia="zh-CN"/>
              </w:rPr>
            </w:pPr>
            <w:r>
              <w:rPr>
                <w:rFonts w:hint="eastAsia"/>
                <w:color w:val="auto"/>
                <w:szCs w:val="21"/>
                <w:lang w:val="en-US" w:eastAsia="zh-CN"/>
              </w:rPr>
              <w:t>1）2024年12月，湖南省开放大学招生工作先进个人， 湖南省开放大学，计4分。</w:t>
            </w:r>
          </w:p>
          <w:p w14:paraId="4A839A57">
            <w:pPr>
              <w:adjustRightInd w:val="0"/>
              <w:snapToGrid w:val="0"/>
              <w:spacing w:line="276" w:lineRule="auto"/>
              <w:rPr>
                <w:rFonts w:hint="eastAsia"/>
                <w:color w:val="auto"/>
                <w:szCs w:val="21"/>
                <w:lang w:val="en-US" w:eastAsia="zh-CN"/>
              </w:rPr>
            </w:pPr>
            <w:r>
              <w:rPr>
                <w:rFonts w:hint="eastAsia"/>
                <w:color w:val="auto"/>
                <w:szCs w:val="21"/>
                <w:lang w:val="en-US" w:eastAsia="zh-CN"/>
              </w:rPr>
              <w:t>2）2024年12月，教育部“一村一名大学生计划”（含农民大学生培养计划）招生先进单位，国家开放大学，计8分</w:t>
            </w:r>
          </w:p>
          <w:p w14:paraId="1097007F">
            <w:pPr>
              <w:adjustRightInd w:val="0"/>
              <w:snapToGrid w:val="0"/>
              <w:spacing w:line="276" w:lineRule="auto"/>
              <w:rPr>
                <w:rFonts w:hint="eastAsia"/>
                <w:color w:val="auto"/>
                <w:szCs w:val="21"/>
                <w:lang w:val="en-US" w:eastAsia="zh-CN"/>
              </w:rPr>
            </w:pPr>
            <w:r>
              <w:rPr>
                <w:rFonts w:hint="eastAsia"/>
                <w:color w:val="auto"/>
                <w:szCs w:val="21"/>
                <w:lang w:val="en-US" w:eastAsia="zh-CN"/>
              </w:rPr>
              <w:t>3）2024.12,  全省开放大学系统建设工作优秀分校，湖南省开放大学，计4分</w:t>
            </w:r>
          </w:p>
          <w:p w14:paraId="4BC28F6E">
            <w:pPr>
              <w:adjustRightInd w:val="0"/>
              <w:snapToGrid w:val="0"/>
              <w:spacing w:line="276" w:lineRule="auto"/>
              <w:rPr>
                <w:rFonts w:hint="eastAsia"/>
                <w:color w:val="auto"/>
                <w:szCs w:val="21"/>
                <w:lang w:val="en-US" w:eastAsia="zh-CN"/>
              </w:rPr>
            </w:pPr>
            <w:r>
              <w:rPr>
                <w:rFonts w:hint="eastAsia"/>
                <w:color w:val="auto"/>
                <w:szCs w:val="21"/>
                <w:lang w:val="en-US" w:eastAsia="zh-CN"/>
              </w:rPr>
              <w:t>4）2023.12，考务工作先进单位，湖南省开放大学，计4分</w:t>
            </w:r>
          </w:p>
          <w:p w14:paraId="235FAB70">
            <w:pPr>
              <w:numPr>
                <w:ilvl w:val="0"/>
                <w:numId w:val="1"/>
              </w:numPr>
              <w:adjustRightInd w:val="0"/>
              <w:snapToGrid w:val="0"/>
              <w:spacing w:line="276" w:lineRule="auto"/>
              <w:rPr>
                <w:rFonts w:hint="default" w:cs="Times New Roman"/>
                <w:color w:val="auto"/>
                <w:kern w:val="2"/>
                <w:sz w:val="21"/>
                <w:szCs w:val="21"/>
                <w:lang w:val="en-US" w:eastAsia="zh-CN" w:bidi="ar-SA"/>
              </w:rPr>
            </w:pPr>
            <w:r>
              <w:rPr>
                <w:rFonts w:hint="eastAsia"/>
                <w:color w:val="auto"/>
                <w:szCs w:val="21"/>
                <w:lang w:val="en-US" w:eastAsia="zh-CN"/>
              </w:rPr>
              <w:t>2023.12，学籍先进单位，湖南省开放大学，计4分</w:t>
            </w:r>
          </w:p>
        </w:tc>
        <w:tc>
          <w:tcPr>
            <w:tcW w:w="1200" w:type="dxa"/>
            <w:vAlign w:val="center"/>
          </w:tcPr>
          <w:p w14:paraId="650AE249">
            <w:pPr>
              <w:adjustRightInd w:val="0"/>
              <w:snapToGrid w:val="0"/>
              <w:spacing w:line="276" w:lineRule="auto"/>
              <w:jc w:val="center"/>
              <w:rPr>
                <w:rFonts w:hint="default" w:eastAsia="宋体"/>
                <w:szCs w:val="21"/>
                <w:lang w:val="en-US" w:eastAsia="zh-CN"/>
              </w:rPr>
            </w:pPr>
            <w:r>
              <w:rPr>
                <w:rFonts w:hint="eastAsia"/>
                <w:szCs w:val="21"/>
                <w:lang w:val="en-US" w:eastAsia="zh-CN"/>
              </w:rPr>
              <w:t>16</w:t>
            </w: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7084A0CB">
            <w:pPr>
              <w:adjustRightInd w:val="0"/>
              <w:snapToGrid w:val="0"/>
              <w:spacing w:line="276" w:lineRule="auto"/>
              <w:jc w:val="center"/>
              <w:rPr>
                <w:rFonts w:hint="default" w:eastAsia="宋体"/>
                <w:szCs w:val="21"/>
                <w:lang w:val="en-US" w:eastAsia="zh-CN"/>
              </w:rPr>
            </w:pPr>
            <w:r>
              <w:rPr>
                <w:rFonts w:hint="eastAsia"/>
                <w:szCs w:val="21"/>
              </w:rPr>
              <w:t>1-4</w:t>
            </w:r>
            <w:r>
              <w:rPr>
                <w:rFonts w:hint="eastAsia"/>
                <w:szCs w:val="21"/>
                <w:lang w:eastAsia="zh-CN"/>
              </w:rPr>
              <w:t>（</w:t>
            </w:r>
            <w:r>
              <w:rPr>
                <w:rFonts w:hint="eastAsia"/>
                <w:sz w:val="16"/>
                <w:szCs w:val="16"/>
                <w:lang w:val="en-US" w:eastAsia="zh-CN"/>
              </w:rPr>
              <w:t>满分6分）</w:t>
            </w:r>
          </w:p>
        </w:tc>
        <w:tc>
          <w:tcPr>
            <w:tcW w:w="14536" w:type="dxa"/>
            <w:gridSpan w:val="10"/>
            <w:vAlign w:val="center"/>
          </w:tcPr>
          <w:p w14:paraId="6221E850">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color w:val="auto"/>
                <w:szCs w:val="21"/>
                <w:lang w:val="en-US" w:eastAsia="zh-CN"/>
              </w:rPr>
              <w:t>乡村振兴、驻村帮扶期间工作人员年度考核优秀</w:t>
            </w:r>
            <w:r>
              <w:rPr>
                <w:rFonts w:hint="eastAsia"/>
                <w:b/>
                <w:bCs/>
                <w:color w:val="000000" w:themeColor="text1"/>
                <w:szCs w:val="21"/>
                <w:lang w:val="en-US" w:eastAsia="zh-CN"/>
                <w14:textFill>
                  <w14:solidFill>
                    <w14:schemeClr w14:val="tx1"/>
                  </w14:solidFill>
                </w14:textFill>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2A3FE5DD">
            <w:pPr>
              <w:adjustRightInd w:val="0"/>
              <w:snapToGrid w:val="0"/>
              <w:spacing w:line="276" w:lineRule="auto"/>
              <w:jc w:val="center"/>
              <w:rPr>
                <w:rFonts w:hint="eastAsia"/>
                <w:szCs w:val="21"/>
              </w:rPr>
            </w:pPr>
            <w:r>
              <w:rPr>
                <w:rFonts w:hint="eastAsia"/>
                <w:szCs w:val="21"/>
              </w:rPr>
              <w:t>1-5</w:t>
            </w:r>
            <w:r>
              <w:rPr>
                <w:rFonts w:hint="eastAsia"/>
                <w:color w:val="auto"/>
                <w:sz w:val="16"/>
                <w:szCs w:val="16"/>
                <w:lang w:val="en-US" w:eastAsia="zh-CN"/>
              </w:rPr>
              <w:t>（注意计分封顶）</w:t>
            </w:r>
          </w:p>
        </w:tc>
        <w:tc>
          <w:tcPr>
            <w:tcW w:w="14536" w:type="dxa"/>
            <w:gridSpan w:val="10"/>
            <w:vAlign w:val="center"/>
          </w:tcPr>
          <w:p w14:paraId="46483418">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担任兼职班主任或辅导员或学生社团指导教师，并在其专项年度考核中评为优秀（</w:t>
            </w:r>
            <w:r>
              <w:rPr>
                <w:rFonts w:hint="eastAsia"/>
                <w:b/>
                <w:bCs/>
                <w:color w:val="000000" w:themeColor="text1"/>
                <w:szCs w:val="21"/>
                <w:lang w:val="en-US" w:eastAsia="zh-CN"/>
                <w14:textFill>
                  <w14:solidFill>
                    <w14:schemeClr w14:val="tx1"/>
                  </w14:solidFill>
                </w14:textFill>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5771B80E">
            <w:pPr>
              <w:adjustRightInd w:val="0"/>
              <w:snapToGrid w:val="0"/>
              <w:spacing w:line="276" w:lineRule="auto"/>
              <w:rPr>
                <w:rFonts w:hint="default"/>
                <w:b w:val="0"/>
                <w:bCs w:val="0"/>
                <w:color w:val="FF0000"/>
                <w:vertAlign w:val="baseline"/>
                <w:lang w:val="en-US" w:eastAsia="zh-CN"/>
              </w:rPr>
            </w:pPr>
            <w:r>
              <w:rPr>
                <w:rFonts w:hint="eastAsia"/>
                <w:color w:val="auto"/>
                <w:szCs w:val="21"/>
                <w:lang w:val="en-US" w:eastAsia="zh-CN"/>
              </w:rPr>
              <w:t>任现职以来，年度考核优秀情况</w:t>
            </w:r>
            <w:r>
              <w:rPr>
                <w:rFonts w:hint="eastAsia"/>
                <w:b/>
                <w:bCs/>
                <w:color w:val="000000" w:themeColor="text1"/>
                <w:szCs w:val="21"/>
                <w:lang w:val="en-US" w:eastAsia="zh-CN"/>
                <w14:textFill>
                  <w14:solidFill>
                    <w14:schemeClr w14:val="tx1"/>
                  </w14:solidFill>
                </w14:textFill>
              </w:rPr>
              <w:t>（无）</w:t>
            </w:r>
          </w:p>
        </w:tc>
        <w:tc>
          <w:tcPr>
            <w:tcW w:w="1200" w:type="dxa"/>
            <w:vAlign w:val="center"/>
          </w:tcPr>
          <w:p w14:paraId="6BE6B37D">
            <w:pPr>
              <w:adjustRightInd w:val="0"/>
              <w:snapToGrid w:val="0"/>
              <w:spacing w:line="276" w:lineRule="auto"/>
              <w:jc w:val="center"/>
              <w:rPr>
                <w:szCs w:val="21"/>
              </w:rPr>
            </w:pP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1CEDBFDB">
            <w:pPr>
              <w:adjustRightInd w:val="0"/>
              <w:snapToGrid w:val="0"/>
              <w:spacing w:line="276" w:lineRule="auto"/>
              <w:rPr>
                <w:rFonts w:hint="default"/>
                <w:b w:val="0"/>
                <w:bCs w:val="0"/>
                <w:color w:val="FF0000"/>
                <w:vertAlign w:val="baseline"/>
                <w:lang w:val="en-US" w:eastAsia="zh-CN"/>
              </w:rPr>
            </w:pPr>
            <w:r>
              <w:rPr>
                <w:rFonts w:hint="eastAsia"/>
                <w:color w:val="auto"/>
                <w:szCs w:val="21"/>
                <w:lang w:val="en-US" w:eastAsia="zh-CN"/>
              </w:rPr>
              <w:t>学历学位情况</w:t>
            </w:r>
            <w:r>
              <w:rPr>
                <w:rFonts w:hint="eastAsia"/>
                <w:b/>
                <w:bCs/>
                <w:color w:val="auto"/>
                <w:szCs w:val="21"/>
                <w:lang w:val="en-US" w:eastAsia="zh-CN"/>
              </w:rPr>
              <w:t>（无）</w:t>
            </w:r>
          </w:p>
        </w:tc>
        <w:tc>
          <w:tcPr>
            <w:tcW w:w="1200" w:type="dxa"/>
            <w:vAlign w:val="center"/>
          </w:tcPr>
          <w:p w14:paraId="0A370D9B">
            <w:pPr>
              <w:adjustRightInd w:val="0"/>
              <w:snapToGrid w:val="0"/>
              <w:spacing w:line="276" w:lineRule="auto"/>
              <w:jc w:val="center"/>
              <w:rPr>
                <w:szCs w:val="21"/>
              </w:rPr>
            </w:pP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auto"/>
                <w:szCs w:val="21"/>
                <w:lang w:val="en-US" w:eastAsia="zh-CN"/>
              </w:rPr>
              <w:t>外语和计算机水平</w:t>
            </w:r>
            <w:r>
              <w:rPr>
                <w:rFonts w:hint="eastAsia"/>
                <w:b/>
                <w:bCs/>
                <w:color w:val="auto"/>
                <w:szCs w:val="21"/>
                <w:lang w:val="en-US" w:eastAsia="zh-CN"/>
              </w:rPr>
              <w:t>（无）</w:t>
            </w:r>
          </w:p>
        </w:tc>
        <w:tc>
          <w:tcPr>
            <w:tcW w:w="1200" w:type="dxa"/>
            <w:vAlign w:val="center"/>
          </w:tcPr>
          <w:p w14:paraId="5983BF1A">
            <w:pPr>
              <w:adjustRightInd w:val="0"/>
              <w:snapToGrid w:val="0"/>
              <w:spacing w:line="276" w:lineRule="auto"/>
              <w:jc w:val="center"/>
              <w:rPr>
                <w:szCs w:val="21"/>
              </w:rPr>
            </w:pP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rFonts w:hint="eastAsia"/>
                <w:color w:val="auto"/>
                <w:szCs w:val="21"/>
                <w:lang w:val="en-US" w:eastAsia="zh-CN"/>
              </w:rPr>
            </w:pPr>
            <w:r>
              <w:rPr>
                <w:rFonts w:hint="eastAsia"/>
                <w:color w:val="auto"/>
                <w:szCs w:val="21"/>
                <w:lang w:val="en-US" w:eastAsia="zh-CN"/>
              </w:rPr>
              <w:t>继续教育合格证明</w:t>
            </w:r>
          </w:p>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w:t>
            </w:r>
            <w:r>
              <w:rPr>
                <w:rFonts w:hint="eastAsia"/>
                <w:b w:val="0"/>
                <w:bCs w:val="0"/>
                <w:color w:val="auto"/>
                <w:vertAlign w:val="baseline"/>
                <w:lang w:val="en-US" w:eastAsia="zh-CN"/>
              </w:rPr>
              <w:t>9</w:t>
            </w:r>
            <w:r>
              <w:rPr>
                <w:rFonts w:hint="eastAsia" w:eastAsia="宋体"/>
                <w:b w:val="0"/>
                <w:bCs w:val="0"/>
                <w:color w:val="auto"/>
                <w:vertAlign w:val="baseline"/>
                <w:lang w:val="en-US" w:eastAsia="zh-CN"/>
              </w:rPr>
              <w:t>分</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9</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60366918">
            <w:pPr>
              <w:adjustRightInd w:val="0"/>
              <w:snapToGrid w:val="0"/>
              <w:spacing w:line="276" w:lineRule="auto"/>
              <w:rPr>
                <w:rFonts w:hint="default" w:eastAsia="宋体"/>
                <w:b w:val="0"/>
                <w:bCs w:val="0"/>
                <w:color w:val="auto"/>
                <w:vertAlign w:val="baseline"/>
                <w:lang w:val="en-US" w:eastAsia="zh-CN"/>
              </w:rPr>
            </w:pPr>
            <w:r>
              <w:rPr>
                <w:rFonts w:hint="eastAsia"/>
                <w:color w:val="auto"/>
                <w:szCs w:val="21"/>
                <w:lang w:val="en-US" w:eastAsia="zh-CN"/>
              </w:rPr>
              <w:t>双师双能教师情况</w:t>
            </w:r>
            <w:r>
              <w:rPr>
                <w:rFonts w:hint="eastAsia"/>
                <w:b/>
                <w:bCs/>
                <w:color w:val="auto"/>
                <w:szCs w:val="21"/>
                <w:lang w:val="en-US" w:eastAsia="zh-CN"/>
              </w:rPr>
              <w:t>（无）</w:t>
            </w:r>
          </w:p>
        </w:tc>
        <w:tc>
          <w:tcPr>
            <w:tcW w:w="1200" w:type="dxa"/>
            <w:vAlign w:val="center"/>
          </w:tcPr>
          <w:p w14:paraId="3314DA1D">
            <w:pPr>
              <w:adjustRightInd w:val="0"/>
              <w:snapToGrid w:val="0"/>
              <w:spacing w:line="276" w:lineRule="auto"/>
              <w:jc w:val="center"/>
              <w:rPr>
                <w:szCs w:val="21"/>
              </w:rPr>
            </w:pP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4BD7E32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auto"/>
                <w:szCs w:val="21"/>
                <w:lang w:val="en-US" w:eastAsia="zh-CN"/>
              </w:rPr>
              <w:t>本次课时统计时间从2020年开始，省校教师课时统计范围及标准请按湘开大校通〔2024〕129号中相关规定执行。</w:t>
            </w:r>
            <w:r>
              <w:rPr>
                <w:rFonts w:hint="eastAsia"/>
                <w:b/>
                <w:bCs/>
                <w:color w:val="auto"/>
                <w:szCs w:val="21"/>
                <w:lang w:val="en-US" w:eastAsia="zh-CN"/>
              </w:rPr>
              <w:t>（无）</w:t>
            </w:r>
          </w:p>
        </w:tc>
        <w:tc>
          <w:tcPr>
            <w:tcW w:w="1200" w:type="dxa"/>
            <w:vAlign w:val="center"/>
          </w:tcPr>
          <w:p w14:paraId="27122FCF">
            <w:pPr>
              <w:adjustRightInd w:val="0"/>
              <w:snapToGrid w:val="0"/>
              <w:spacing w:line="276" w:lineRule="auto"/>
              <w:jc w:val="center"/>
              <w:rPr>
                <w:rFonts w:hint="default" w:eastAsia="宋体"/>
                <w:szCs w:val="21"/>
                <w:lang w:val="en-US" w:eastAsia="zh-CN"/>
              </w:rPr>
            </w:pPr>
          </w:p>
        </w:tc>
        <w:tc>
          <w:tcPr>
            <w:tcW w:w="1274" w:type="dxa"/>
            <w:vAlign w:val="center"/>
          </w:tcPr>
          <w:p w14:paraId="6190A3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auto"/>
                <w:szCs w:val="21"/>
                <w:lang w:val="en-US" w:eastAsia="zh-CN"/>
              </w:rPr>
              <w:t>鼓励长期一线执教量化计分</w:t>
            </w:r>
            <w:r>
              <w:rPr>
                <w:rFonts w:hint="eastAsia"/>
                <w:b/>
                <w:bCs/>
                <w:color w:val="auto"/>
                <w:szCs w:val="21"/>
                <w:lang w:val="en-US" w:eastAsia="zh-CN"/>
              </w:rPr>
              <w:t>（2年</w:t>
            </w:r>
            <w:r>
              <w:rPr>
                <w:rFonts w:hint="default" w:ascii="Arial" w:hAnsi="Arial" w:cs="Arial"/>
                <w:b/>
                <w:bCs/>
                <w:color w:val="auto"/>
                <w:szCs w:val="21"/>
                <w:lang w:val="en-US" w:eastAsia="zh-CN"/>
              </w:rPr>
              <w:t>×</w:t>
            </w:r>
            <w:r>
              <w:rPr>
                <w:rFonts w:hint="eastAsia" w:ascii="宋体" w:hAnsi="宋体" w:cs="宋体"/>
                <w:b/>
                <w:bCs/>
                <w:color w:val="auto"/>
                <w:szCs w:val="21"/>
                <w:lang w:val="en-US" w:eastAsia="zh-CN"/>
              </w:rPr>
              <w:t>0.5=1</w:t>
            </w:r>
            <w:r>
              <w:rPr>
                <w:rFonts w:hint="eastAsia"/>
                <w:b/>
                <w:bCs/>
                <w:color w:val="auto"/>
                <w:szCs w:val="21"/>
                <w:lang w:val="en-US" w:eastAsia="zh-CN"/>
              </w:rPr>
              <w:t>）</w:t>
            </w:r>
          </w:p>
        </w:tc>
        <w:tc>
          <w:tcPr>
            <w:tcW w:w="1200" w:type="dxa"/>
            <w:vAlign w:val="center"/>
          </w:tcPr>
          <w:p w14:paraId="5947195A">
            <w:pPr>
              <w:adjustRightInd w:val="0"/>
              <w:snapToGrid w:val="0"/>
              <w:spacing w:line="276" w:lineRule="auto"/>
              <w:jc w:val="center"/>
              <w:rPr>
                <w:rFonts w:hint="default" w:eastAsia="宋体"/>
                <w:szCs w:val="21"/>
                <w:lang w:val="en-US" w:eastAsia="zh-CN"/>
              </w:rPr>
            </w:pPr>
            <w:r>
              <w:rPr>
                <w:rFonts w:hint="eastAsia"/>
                <w:szCs w:val="21"/>
                <w:lang w:val="en-US" w:eastAsia="zh-CN"/>
              </w:rPr>
              <w:t>1</w:t>
            </w:r>
          </w:p>
        </w:tc>
        <w:tc>
          <w:tcPr>
            <w:tcW w:w="1274" w:type="dxa"/>
            <w:vAlign w:val="center"/>
          </w:tcPr>
          <w:p w14:paraId="3A53CD2C">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0.75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3D32989">
            <w:pPr>
              <w:adjustRightInd w:val="0"/>
              <w:snapToGrid w:val="0"/>
              <w:spacing w:line="276" w:lineRule="auto"/>
              <w:rPr>
                <w:rFonts w:hint="eastAsia"/>
                <w:b/>
                <w:bCs/>
                <w:vertAlign w:val="baseline"/>
                <w:lang w:val="en-US" w:eastAsia="zh-CN"/>
              </w:rPr>
            </w:pPr>
            <w:r>
              <w:rPr>
                <w:rFonts w:hint="eastAsia"/>
                <w:color w:val="auto"/>
                <w:szCs w:val="21"/>
                <w:lang w:val="en-US" w:eastAsia="zh-CN"/>
              </w:rPr>
              <w:t>质量监控与评价中心根据参评人员任职期间课堂评教、常规教学状态数据、同行专家评价等数据得出参评人员教学质量评价得分</w:t>
            </w:r>
          </w:p>
        </w:tc>
        <w:tc>
          <w:tcPr>
            <w:tcW w:w="1200" w:type="dxa"/>
            <w:vAlign w:val="center"/>
          </w:tcPr>
          <w:p w14:paraId="4271D181">
            <w:pPr>
              <w:adjustRightInd w:val="0"/>
              <w:snapToGrid w:val="0"/>
              <w:spacing w:line="276" w:lineRule="auto"/>
              <w:jc w:val="center"/>
              <w:rPr>
                <w:rFonts w:hint="default"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2E649BE1">
            <w:pPr>
              <w:adjustRightInd w:val="0"/>
              <w:snapToGrid w:val="0"/>
              <w:spacing w:line="276" w:lineRule="auto"/>
              <w:rPr>
                <w:rFonts w:hint="eastAsia"/>
                <w:color w:val="auto"/>
                <w:szCs w:val="21"/>
                <w:lang w:val="en-US" w:eastAsia="zh-CN"/>
              </w:rPr>
            </w:pPr>
            <w:r>
              <w:rPr>
                <w:rFonts w:hint="eastAsia"/>
                <w:color w:val="auto"/>
                <w:szCs w:val="21"/>
                <w:lang w:val="en-US" w:eastAsia="zh-CN"/>
              </w:rPr>
              <w:t>教学竞赛获奖：</w:t>
            </w:r>
          </w:p>
          <w:p w14:paraId="39EA083E">
            <w:pPr>
              <w:adjustRightInd w:val="0"/>
              <w:snapToGrid w:val="0"/>
              <w:spacing w:line="276" w:lineRule="auto"/>
              <w:rPr>
                <w:rFonts w:hint="eastAsia"/>
                <w:color w:val="auto"/>
                <w:szCs w:val="21"/>
                <w:lang w:val="en-US" w:eastAsia="zh-CN"/>
              </w:rPr>
            </w:pPr>
            <w:r>
              <w:rPr>
                <w:rFonts w:hint="eastAsia"/>
                <w:color w:val="auto"/>
                <w:szCs w:val="21"/>
                <w:lang w:val="en-US" w:eastAsia="zh-CN"/>
              </w:rPr>
              <w:t>2025.05，国开《九嶷木雕：笔刀话春秋》非遗作品优秀，第二，计3分</w:t>
            </w:r>
          </w:p>
          <w:p w14:paraId="077FD4F4">
            <w:pPr>
              <w:pStyle w:val="2"/>
              <w:rPr>
                <w:rFonts w:hint="eastAsia"/>
                <w:color w:val="auto"/>
                <w:szCs w:val="21"/>
                <w:lang w:val="en-US" w:eastAsia="zh-CN"/>
              </w:rPr>
            </w:pPr>
            <w:r>
              <w:rPr>
                <w:rFonts w:hint="eastAsia"/>
                <w:color w:val="auto"/>
                <w:szCs w:val="21"/>
                <w:lang w:val="en-US" w:eastAsia="zh-CN"/>
              </w:rPr>
              <w:t>2025.06，指导李俊达、文微、顾明《</w:t>
            </w:r>
            <w:r>
              <w:rPr>
                <w:rFonts w:hint="default"/>
                <w:color w:val="auto"/>
                <w:szCs w:val="21"/>
                <w:lang w:val="en-US" w:eastAsia="zh-CN"/>
              </w:rPr>
              <w:t>“</w:t>
            </w:r>
            <w:r>
              <w:rPr>
                <w:rFonts w:hint="eastAsia"/>
                <w:color w:val="auto"/>
                <w:szCs w:val="21"/>
                <w:lang w:val="en-US" w:eastAsia="zh-CN"/>
              </w:rPr>
              <w:t>一本三化”“双线督导增质效—永州开放大学宁远分校基层办学质量管理模式》作品获省质量管理案例大赛二等奖，计3分</w:t>
            </w:r>
          </w:p>
          <w:p w14:paraId="0D61D303">
            <w:pPr>
              <w:pStyle w:val="2"/>
              <w:rPr>
                <w:rFonts w:hint="default"/>
                <w:color w:val="auto"/>
                <w:szCs w:val="21"/>
                <w:lang w:val="en-US" w:eastAsia="zh-CN"/>
              </w:rPr>
            </w:pPr>
            <w:r>
              <w:rPr>
                <w:rFonts w:hint="eastAsia"/>
                <w:color w:val="auto"/>
                <w:szCs w:val="21"/>
                <w:lang w:val="en-US" w:eastAsia="zh-CN"/>
              </w:rPr>
              <w:t>2024.11，指导何容《千家峒里富“芋”路——五香小芋头蝶变大产业》获教育部“一村一名大学生计划”学生优秀创新案例优秀奖，计3分</w:t>
            </w:r>
          </w:p>
        </w:tc>
        <w:tc>
          <w:tcPr>
            <w:tcW w:w="1200" w:type="dxa"/>
            <w:vAlign w:val="center"/>
          </w:tcPr>
          <w:p w14:paraId="5ED2C39F">
            <w:pPr>
              <w:adjustRightInd w:val="0"/>
              <w:snapToGrid w:val="0"/>
              <w:spacing w:line="276" w:lineRule="auto"/>
              <w:jc w:val="center"/>
              <w:rPr>
                <w:rFonts w:hint="eastAsia" w:eastAsia="宋体"/>
                <w:szCs w:val="21"/>
                <w:lang w:val="en-US" w:eastAsia="zh-CN"/>
              </w:rPr>
            </w:pPr>
            <w:r>
              <w:rPr>
                <w:rFonts w:hint="eastAsia"/>
                <w:szCs w:val="21"/>
                <w:lang w:val="en-US" w:eastAsia="zh-CN"/>
              </w:rPr>
              <w:t>9</w:t>
            </w: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32BECF88">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color w:val="auto"/>
                <w:szCs w:val="21"/>
                <w:lang w:val="en-US" w:eastAsia="zh-CN"/>
              </w:rPr>
              <w:t>教学创新团队建设计分</w:t>
            </w:r>
            <w:r>
              <w:rPr>
                <w:rFonts w:hint="eastAsia"/>
                <w:b/>
                <w:bCs/>
                <w:color w:val="auto"/>
                <w:szCs w:val="21"/>
                <w:lang w:val="en-US" w:eastAsia="zh-CN"/>
              </w:rPr>
              <w:t>（无）</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11673553">
            <w:pPr>
              <w:adjustRightInd w:val="0"/>
              <w:snapToGrid w:val="0"/>
              <w:spacing w:line="276" w:lineRule="auto"/>
              <w:rPr>
                <w:rFonts w:hint="default"/>
                <w:color w:val="auto"/>
                <w:szCs w:val="21"/>
                <w:lang w:val="en-US" w:eastAsia="zh-CN"/>
              </w:rPr>
            </w:pPr>
            <w:r>
              <w:rPr>
                <w:rFonts w:hint="eastAsia"/>
                <w:color w:val="auto"/>
                <w:szCs w:val="21"/>
                <w:lang w:val="en-US" w:eastAsia="zh-CN"/>
              </w:rPr>
              <w:t>实训基地建设</w:t>
            </w:r>
          </w:p>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color w:val="000000" w:themeColor="text1"/>
                <w:szCs w:val="21"/>
                <w:lang w:val="en-US" w:eastAsia="zh-CN"/>
                <w14:textFill>
                  <w14:solidFill>
                    <w14:schemeClr w14:val="tx1"/>
                  </w14:solidFill>
                </w14:textFill>
              </w:rPr>
              <w:t>省开放大学，</w:t>
            </w:r>
            <w:r>
              <w:rPr>
                <w:rFonts w:hint="eastAsia" w:ascii="宋体" w:cs="Times New Roman"/>
                <w:color w:val="000000"/>
                <w:lang w:val="en-US" w:eastAsia="zh-CN"/>
              </w:rPr>
              <w:t>湖南食品有限公司（何容香芋</w:t>
            </w:r>
            <w:r>
              <w:rPr>
                <w:rFonts w:hint="eastAsia" w:ascii="宋体" w:hAnsi="Times New Roman" w:eastAsia="宋体" w:cs="Times New Roman"/>
                <w:color w:val="000000"/>
                <w:lang w:val="en-US" w:eastAsia="zh-CN"/>
              </w:rPr>
              <w:t>基地</w:t>
            </w:r>
            <w:r>
              <w:rPr>
                <w:rFonts w:hint="eastAsia" w:ascii="宋体" w:cs="Times New Roman"/>
                <w:color w:val="000000"/>
                <w:lang w:val="en-US" w:eastAsia="zh-CN"/>
              </w:rPr>
              <w:t>）</w:t>
            </w:r>
            <w:r>
              <w:rPr>
                <w:rFonts w:hint="eastAsia" w:ascii="宋体" w:hAnsi="Times New Roman" w:eastAsia="宋体" w:cs="Times New Roman"/>
                <w:color w:val="000000"/>
                <w:lang w:val="en-US" w:eastAsia="zh-CN"/>
              </w:rPr>
              <w:t>获“湖南农民大学生创新创业实践教学示范基地”</w:t>
            </w:r>
            <w:r>
              <w:rPr>
                <w:rFonts w:hint="eastAsia" w:ascii="宋体" w:cs="Times New Roman"/>
                <w:color w:val="000000"/>
                <w:lang w:val="en-US" w:eastAsia="zh-CN"/>
              </w:rPr>
              <w:t>，主持，8分</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宋体"/>
                <w:szCs w:val="21"/>
                <w:lang w:val="en-US" w:eastAsia="zh-CN"/>
              </w:rPr>
            </w:pPr>
            <w:r>
              <w:rPr>
                <w:rFonts w:hint="eastAsia"/>
                <w:szCs w:val="21"/>
                <w:lang w:val="en-US" w:eastAsia="zh-CN"/>
              </w:rPr>
              <w:t>8</w:t>
            </w: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4FC1C855">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精品课程</w:t>
            </w:r>
            <w:r>
              <w:rPr>
                <w:rFonts w:hint="eastAsia"/>
                <w:b/>
                <w:bCs/>
                <w:color w:val="auto"/>
                <w:szCs w:val="21"/>
                <w:lang w:val="en-US" w:eastAsia="zh-CN"/>
              </w:rPr>
              <w:t>（无）</w:t>
            </w:r>
          </w:p>
        </w:tc>
        <w:tc>
          <w:tcPr>
            <w:tcW w:w="1200" w:type="dxa"/>
            <w:vAlign w:val="center"/>
          </w:tcPr>
          <w:p w14:paraId="2DE37CEA">
            <w:pPr>
              <w:adjustRightInd w:val="0"/>
              <w:snapToGrid w:val="0"/>
              <w:spacing w:line="276" w:lineRule="auto"/>
              <w:jc w:val="center"/>
              <w:rPr>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auto"/>
                <w:szCs w:val="21"/>
                <w:lang w:val="en-US" w:eastAsia="zh-CN"/>
              </w:rPr>
              <w:t>建设高水平专业情况</w:t>
            </w:r>
            <w:r>
              <w:rPr>
                <w:rFonts w:hint="eastAsia"/>
                <w:b/>
                <w:bCs/>
                <w:color w:val="auto"/>
                <w:szCs w:val="21"/>
                <w:lang w:val="en-US" w:eastAsia="zh-CN"/>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rPr>
                <w:rFonts w:hint="default"/>
                <w:color w:val="auto"/>
                <w:szCs w:val="21"/>
                <w:lang w:val="en-US" w:eastAsia="zh-CN"/>
              </w:rPr>
            </w:pPr>
            <w:r>
              <w:rPr>
                <w:rFonts w:hint="eastAsia"/>
                <w:color w:val="auto"/>
                <w:szCs w:val="21"/>
                <w:lang w:val="en-US" w:eastAsia="zh-CN"/>
              </w:rPr>
              <w:t>3-4-5</w:t>
            </w:r>
          </w:p>
        </w:tc>
        <w:tc>
          <w:tcPr>
            <w:tcW w:w="14536" w:type="dxa"/>
            <w:gridSpan w:val="10"/>
            <w:vAlign w:val="center"/>
          </w:tcPr>
          <w:p w14:paraId="1AFB90F9">
            <w:pPr>
              <w:adjustRightInd w:val="0"/>
              <w:snapToGrid w:val="0"/>
              <w:spacing w:line="276" w:lineRule="auto"/>
              <w:rPr>
                <w:rFonts w:hint="default"/>
                <w:color w:val="auto"/>
                <w:szCs w:val="21"/>
                <w:lang w:val="en-US" w:eastAsia="zh-CN"/>
              </w:rPr>
            </w:pPr>
            <w:r>
              <w:rPr>
                <w:rFonts w:hint="eastAsia"/>
                <w:color w:val="auto"/>
                <w:szCs w:val="21"/>
                <w:lang w:val="en-US" w:eastAsia="zh-CN"/>
              </w:rPr>
              <w:t>新申报专业情况</w:t>
            </w:r>
            <w:r>
              <w:rPr>
                <w:rFonts w:hint="eastAsia"/>
                <w:b/>
                <w:bCs/>
                <w:color w:val="auto"/>
                <w:szCs w:val="21"/>
                <w:lang w:val="en-US" w:eastAsia="zh-CN"/>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797822E">
            <w:pPr>
              <w:adjustRightInd w:val="0"/>
              <w:snapToGrid w:val="0"/>
              <w:spacing w:line="276" w:lineRule="auto"/>
              <w:rPr>
                <w:rFonts w:hint="eastAsia"/>
                <w:color w:val="auto"/>
                <w:szCs w:val="21"/>
                <w:lang w:val="en-US" w:eastAsia="zh-CN"/>
              </w:rPr>
            </w:pPr>
            <w:r>
              <w:rPr>
                <w:rFonts w:hint="eastAsia"/>
                <w:color w:val="auto"/>
                <w:szCs w:val="21"/>
                <w:lang w:val="en-US" w:eastAsia="zh-CN"/>
              </w:rPr>
              <w:t>指导毕业设计抽查评优</w:t>
            </w:r>
            <w:r>
              <w:rPr>
                <w:rFonts w:hint="eastAsia"/>
                <w:b/>
                <w:bCs/>
                <w:color w:val="auto"/>
                <w:szCs w:val="21"/>
                <w:lang w:val="en-US" w:eastAsia="zh-CN"/>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rPr>
                <w:rFonts w:hint="eastAsia"/>
                <w:color w:val="auto"/>
                <w:szCs w:val="21"/>
                <w:lang w:val="en-US" w:eastAsia="zh-CN"/>
              </w:rPr>
            </w:pPr>
            <w:r>
              <w:rPr>
                <w:rFonts w:hint="eastAsia"/>
                <w:color w:val="auto"/>
                <w:szCs w:val="21"/>
                <w:lang w:val="en-US" w:eastAsia="zh-CN"/>
              </w:rPr>
              <w:t>教学工作基地情况：省开放大学，何容香芋种植基地获“湖南农民大学生创新创业实践教学示范基地”，主持，8分</w:t>
            </w:r>
          </w:p>
        </w:tc>
        <w:tc>
          <w:tcPr>
            <w:tcW w:w="1200" w:type="dxa"/>
            <w:vAlign w:val="center"/>
          </w:tcPr>
          <w:p w14:paraId="765863EB">
            <w:pPr>
              <w:adjustRightInd w:val="0"/>
              <w:snapToGrid w:val="0"/>
              <w:spacing w:line="276" w:lineRule="auto"/>
              <w:jc w:val="center"/>
              <w:rPr>
                <w:rFonts w:hint="eastAsia" w:eastAsia="宋体"/>
                <w:szCs w:val="21"/>
                <w:lang w:val="en-US" w:eastAsia="zh-CN"/>
              </w:rPr>
            </w:pPr>
            <w:r>
              <w:rPr>
                <w:rFonts w:hint="eastAsia"/>
                <w:szCs w:val="21"/>
                <w:lang w:val="en-US" w:eastAsia="zh-CN"/>
              </w:rPr>
              <w:t>8</w:t>
            </w: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497C7E2E">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-8</w:t>
            </w:r>
            <w:r>
              <w:rPr>
                <w:rFonts w:hint="eastAsia"/>
                <w:szCs w:val="21"/>
                <w:lang w:eastAsia="zh-CN"/>
              </w:rPr>
              <w:t>（</w:t>
            </w:r>
            <w:r>
              <w:rPr>
                <w:rFonts w:hint="eastAsia"/>
                <w:sz w:val="16"/>
                <w:szCs w:val="16"/>
                <w:lang w:val="en-US" w:eastAsia="zh-CN"/>
              </w:rPr>
              <w:t>满分3分）</w:t>
            </w:r>
          </w:p>
        </w:tc>
        <w:tc>
          <w:tcPr>
            <w:tcW w:w="14536" w:type="dxa"/>
            <w:gridSpan w:val="10"/>
            <w:vAlign w:val="center"/>
          </w:tcPr>
          <w:p w14:paraId="1301CA25">
            <w:pPr>
              <w:adjustRightInd w:val="0"/>
              <w:snapToGrid w:val="0"/>
              <w:spacing w:line="276" w:lineRule="auto"/>
              <w:rPr>
                <w:rFonts w:hint="default"/>
                <w:color w:val="auto"/>
                <w:szCs w:val="21"/>
                <w:lang w:val="en-US" w:eastAsia="zh-CN"/>
              </w:rPr>
            </w:pPr>
            <w:r>
              <w:rPr>
                <w:rFonts w:hint="eastAsia"/>
                <w:color w:val="auto"/>
                <w:szCs w:val="21"/>
                <w:lang w:val="en-US" w:eastAsia="zh-CN"/>
              </w:rPr>
              <w:t>担任系、教研室、实验室主任情况</w:t>
            </w:r>
          </w:p>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2023年12月+</w:t>
            </w:r>
            <w:r>
              <w:rPr>
                <w:rFonts w:hint="eastAsia"/>
                <w:color w:val="000000" w:themeColor="text1"/>
                <w:szCs w:val="21"/>
                <w14:textFill>
                  <w14:solidFill>
                    <w14:schemeClr w14:val="tx1"/>
                  </w14:solidFill>
                </w14:textFill>
              </w:rPr>
              <w:t>任</w:t>
            </w:r>
            <w:r>
              <w:rPr>
                <w:rFonts w:hint="eastAsia"/>
                <w:color w:val="000000" w:themeColor="text1"/>
                <w:szCs w:val="21"/>
                <w:lang w:eastAsia="zh-CN"/>
                <w14:textFill>
                  <w14:solidFill>
                    <w14:schemeClr w14:val="tx1"/>
                  </w14:solidFill>
                </w14:textFill>
              </w:rPr>
              <w:t>永州</w:t>
            </w:r>
            <w:r>
              <w:rPr>
                <w:rFonts w:hint="eastAsia"/>
                <w:color w:val="000000" w:themeColor="text1"/>
                <w:szCs w:val="21"/>
                <w:lang w:val="en-US" w:eastAsia="zh-CN"/>
                <w14:textFill>
                  <w14:solidFill>
                    <w14:schemeClr w14:val="tx1"/>
                  </w14:solidFill>
                </w14:textFill>
              </w:rPr>
              <w:t>开放大学副校长，分管教学、教务、招生、信息技术建设工作，计3分</w:t>
            </w:r>
            <w:r>
              <w:rPr>
                <w:rFonts w:hint="eastAsia"/>
                <w:color w:val="000000" w:themeColor="text1"/>
                <w:szCs w:val="21"/>
                <w14:textFill>
                  <w14:solidFill>
                    <w14:schemeClr w14:val="tx1"/>
                  </w14:solidFill>
                </w14:textFill>
              </w:rPr>
              <w:t>。</w:t>
            </w:r>
          </w:p>
        </w:tc>
        <w:tc>
          <w:tcPr>
            <w:tcW w:w="1200" w:type="dxa"/>
            <w:vAlign w:val="center"/>
          </w:tcPr>
          <w:p w14:paraId="5B13E1A4">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098E792">
            <w:pPr>
              <w:adjustRightInd w:val="0"/>
              <w:snapToGrid w:val="0"/>
              <w:spacing w:line="276" w:lineRule="auto"/>
              <w:rPr>
                <w:rFonts w:hint="eastAsia"/>
                <w:b w:val="0"/>
                <w:bCs w:val="0"/>
                <w:color w:val="FF0000"/>
                <w:szCs w:val="21"/>
                <w:lang w:val="en-US" w:eastAsia="zh-CN"/>
              </w:rPr>
            </w:pPr>
            <w:r>
              <w:rPr>
                <w:rFonts w:hint="eastAsia"/>
                <w:color w:val="auto"/>
                <w:szCs w:val="21"/>
                <w:lang w:val="en-US" w:eastAsia="zh-CN"/>
              </w:rPr>
              <w:t>教材编写情况</w:t>
            </w:r>
            <w:r>
              <w:rPr>
                <w:rFonts w:hint="eastAsia"/>
                <w:b/>
                <w:bCs/>
                <w:color w:val="auto"/>
                <w:szCs w:val="21"/>
                <w:lang w:val="en-US" w:eastAsia="zh-CN"/>
              </w:rPr>
              <w:t>（无）</w:t>
            </w:r>
          </w:p>
        </w:tc>
        <w:tc>
          <w:tcPr>
            <w:tcW w:w="1200" w:type="dxa"/>
            <w:vAlign w:val="center"/>
          </w:tcPr>
          <w:p w14:paraId="04098A96">
            <w:pPr>
              <w:adjustRightInd w:val="0"/>
              <w:snapToGrid w:val="0"/>
              <w:spacing w:line="276" w:lineRule="auto"/>
              <w:jc w:val="center"/>
              <w:rPr>
                <w:rFonts w:hint="eastAsia" w:eastAsia="宋体"/>
                <w:szCs w:val="21"/>
                <w:lang w:val="en-US" w:eastAsia="zh-CN"/>
              </w:rPr>
            </w:pP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color w:val="auto"/>
                <w:szCs w:val="21"/>
                <w:lang w:val="en-US" w:eastAsia="zh-CN"/>
              </w:rPr>
            </w:pPr>
            <w:r>
              <w:rPr>
                <w:rFonts w:hint="eastAsia"/>
                <w:color w:val="auto"/>
                <w:szCs w:val="21"/>
                <w:lang w:val="en-US" w:eastAsia="zh-CN"/>
              </w:rPr>
              <w:t>教学成果奖情况</w:t>
            </w:r>
          </w:p>
          <w:p w14:paraId="15F421F0">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auto"/>
                <w:szCs w:val="21"/>
                <w:lang w:val="en-US" w:eastAsia="zh-CN"/>
              </w:rPr>
              <w:t>1）2023.12，</w:t>
            </w:r>
            <w:r>
              <w:rPr>
                <w:rFonts w:hint="eastAsia"/>
                <w:color w:val="000000" w:themeColor="text1"/>
                <w:szCs w:val="21"/>
                <w:lang w:val="en-US" w:eastAsia="zh-CN"/>
                <w14:textFill>
                  <w14:solidFill>
                    <w14:schemeClr w14:val="tx1"/>
                  </w14:solidFill>
                </w14:textFill>
              </w:rPr>
              <w:t>考务工作先进单位，      分管，      计3分；</w:t>
            </w:r>
          </w:p>
          <w:p w14:paraId="428D9649">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2）2023.12，教材配置工作先进单位，      分管，      计3分；</w:t>
            </w:r>
          </w:p>
          <w:p w14:paraId="15A6D76A">
            <w:pPr>
              <w:numPr>
                <w:ilvl w:val="0"/>
                <w:numId w:val="2"/>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2024.12,  全省开放大学系统建设工作优秀分校，分管，      计3分；</w:t>
            </w:r>
          </w:p>
          <w:p w14:paraId="1728C6DB">
            <w:pPr>
              <w:pStyle w:val="2"/>
              <w:rPr>
                <w:rFonts w:hint="eastAsia"/>
                <w:lang w:val="en-US" w:eastAsia="zh-CN"/>
              </w:rPr>
            </w:pPr>
            <w:r>
              <w:rPr>
                <w:rFonts w:hint="eastAsia"/>
                <w:lang w:val="en-US" w:eastAsia="zh-CN"/>
              </w:rPr>
              <w:t>4）2024年12月，教育部“一村一名大学生计划”（含农民大学生培养计划）招生先进单位，3分</w:t>
            </w:r>
          </w:p>
          <w:p w14:paraId="78F53BAC">
            <w:pPr>
              <w:pStyle w:val="2"/>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5）2023.05，全省开放大学教职工气排球赛一等奖， 成员       计3分；</w:t>
            </w:r>
          </w:p>
          <w:p w14:paraId="3BA0BB71">
            <w:pPr>
              <w:numPr>
                <w:ilvl w:val="0"/>
                <w:numId w:val="0"/>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6）2024.06，全省开放大学教职工气排球赛一等奖， 成员       计3分；</w:t>
            </w:r>
          </w:p>
          <w:p w14:paraId="48B28307">
            <w:pPr>
              <w:numPr>
                <w:ilvl w:val="0"/>
                <w:numId w:val="0"/>
              </w:numPr>
              <w:adjustRightInd w:val="0"/>
              <w:snapToGrid w:val="0"/>
              <w:spacing w:line="276" w:lineRule="auto"/>
              <w:rPr>
                <w:rFonts w:hint="eastAsia"/>
                <w:color w:val="auto"/>
                <w:szCs w:val="21"/>
                <w:lang w:val="en-US" w:eastAsia="zh-CN"/>
              </w:rPr>
            </w:pPr>
            <w:r>
              <w:rPr>
                <w:rFonts w:hint="eastAsia"/>
                <w:color w:val="auto"/>
                <w:szCs w:val="21"/>
                <w:lang w:val="en-US" w:eastAsia="zh-CN"/>
              </w:rPr>
              <w:t>7）2025.05，国开《九嶷木雕：笔刀话春秋》非遗作品入选国开优秀作品资源库，第二，计3分</w:t>
            </w:r>
          </w:p>
          <w:p w14:paraId="43732E4F">
            <w:pPr>
              <w:pStyle w:val="2"/>
              <w:rPr>
                <w:rFonts w:hint="default"/>
                <w:lang w:val="en-US" w:eastAsia="zh-CN"/>
              </w:rPr>
            </w:pPr>
            <w:r>
              <w:rPr>
                <w:rFonts w:hint="eastAsia"/>
                <w:color w:val="auto"/>
                <w:szCs w:val="21"/>
                <w:lang w:val="en-US" w:eastAsia="zh-CN"/>
              </w:rPr>
              <w:t>8  2025.06，指导李俊达、文微、顾明《</w:t>
            </w:r>
            <w:r>
              <w:rPr>
                <w:rFonts w:hint="default"/>
                <w:color w:val="auto"/>
                <w:szCs w:val="21"/>
                <w:lang w:val="en-US" w:eastAsia="zh-CN"/>
              </w:rPr>
              <w:t>“</w:t>
            </w:r>
            <w:r>
              <w:rPr>
                <w:rFonts w:hint="eastAsia"/>
                <w:color w:val="auto"/>
                <w:szCs w:val="21"/>
                <w:lang w:val="en-US" w:eastAsia="zh-CN"/>
              </w:rPr>
              <w:t>一本三化”“双线督导增质效—永州开放大学宁远分校基层办学质量管理模式》作品获省质量管理案例大赛二等奖，计3分</w:t>
            </w:r>
          </w:p>
        </w:tc>
        <w:tc>
          <w:tcPr>
            <w:tcW w:w="1200" w:type="dxa"/>
            <w:vAlign w:val="center"/>
          </w:tcPr>
          <w:p w14:paraId="366429EF">
            <w:pPr>
              <w:adjustRightInd w:val="0"/>
              <w:snapToGrid w:val="0"/>
              <w:spacing w:line="276" w:lineRule="auto"/>
              <w:jc w:val="center"/>
              <w:rPr>
                <w:rFonts w:hint="default" w:eastAsia="宋体"/>
                <w:szCs w:val="21"/>
                <w:lang w:val="en-US" w:eastAsia="zh-CN"/>
              </w:rPr>
            </w:pPr>
            <w:r>
              <w:rPr>
                <w:rFonts w:hint="eastAsia"/>
                <w:szCs w:val="21"/>
                <w:lang w:val="en-US" w:eastAsia="zh-CN"/>
              </w:rPr>
              <w:t>24</w:t>
            </w: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320942E">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3-6-1指导学生参加政府部门主办的竞赛等</w:t>
            </w:r>
            <w:r>
              <w:rPr>
                <w:rFonts w:hint="eastAsia"/>
                <w:b/>
                <w:bCs/>
                <w:color w:val="auto"/>
                <w:szCs w:val="21"/>
                <w:lang w:val="en-US" w:eastAsia="zh-CN"/>
              </w:rPr>
              <w:t>（无）</w:t>
            </w:r>
          </w:p>
        </w:tc>
        <w:tc>
          <w:tcPr>
            <w:tcW w:w="1200" w:type="dxa"/>
            <w:vAlign w:val="center"/>
          </w:tcPr>
          <w:p w14:paraId="15CE25DF">
            <w:pPr>
              <w:adjustRightInd w:val="0"/>
              <w:snapToGrid w:val="0"/>
              <w:spacing w:line="276" w:lineRule="auto"/>
              <w:jc w:val="center"/>
              <w:rPr>
                <w:szCs w:val="21"/>
              </w:rPr>
            </w:pPr>
          </w:p>
        </w:tc>
        <w:tc>
          <w:tcPr>
            <w:tcW w:w="1274" w:type="dxa"/>
            <w:vMerge w:val="restart"/>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2278B36C">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3-6-2指导学生参加全国开放大学举办的竞赛等</w:t>
            </w:r>
            <w:r>
              <w:rPr>
                <w:rFonts w:hint="eastAsia"/>
                <w:b/>
                <w:bCs/>
                <w:color w:val="auto"/>
                <w:szCs w:val="21"/>
                <w:lang w:val="en-US" w:eastAsia="zh-CN"/>
              </w:rPr>
              <w:t>：</w:t>
            </w:r>
            <w:r>
              <w:rPr>
                <w:rFonts w:hint="eastAsia"/>
                <w:color w:val="auto"/>
                <w:szCs w:val="21"/>
                <w:lang w:val="en-US" w:eastAsia="zh-CN"/>
              </w:rPr>
              <w:t>指导</w:t>
            </w:r>
            <w:r>
              <w:rPr>
                <w:rFonts w:hint="eastAsia" w:ascii="Times New Roman" w:hAnsi="Times New Roman" w:eastAsia="宋体" w:cs="Times New Roman"/>
                <w:color w:val="auto"/>
                <w:szCs w:val="21"/>
                <w:lang w:val="en-US" w:eastAsia="zh-CN"/>
              </w:rPr>
              <w:t>现代农业经济管理专业</w:t>
            </w:r>
            <w:r>
              <w:rPr>
                <w:rFonts w:hint="eastAsia"/>
                <w:color w:val="auto"/>
                <w:szCs w:val="21"/>
                <w:lang w:val="en-US" w:eastAsia="zh-CN"/>
              </w:rPr>
              <w:t>学员何容参与国家开放开大学农民大学生优秀创新案例比赛，作品《</w:t>
            </w:r>
            <w:r>
              <w:rPr>
                <w:rFonts w:hint="eastAsia" w:ascii="Times New Roman" w:hAnsi="Times New Roman" w:eastAsia="宋体" w:cs="Times New Roman"/>
                <w:color w:val="auto"/>
                <w:szCs w:val="21"/>
                <w:lang w:val="en-US" w:eastAsia="zh-CN"/>
              </w:rPr>
              <w:t>千家峒里富“芋”路-------“五香”小芋头蝶变大产业》获</w:t>
            </w:r>
            <w:r>
              <w:rPr>
                <w:rFonts w:hint="eastAsia" w:cs="Times New Roman"/>
                <w:color w:val="auto"/>
                <w:szCs w:val="21"/>
                <w:lang w:val="en-US" w:eastAsia="zh-CN"/>
              </w:rPr>
              <w:t>优秀</w:t>
            </w:r>
            <w:r>
              <w:rPr>
                <w:rFonts w:hint="eastAsia" w:ascii="Times New Roman" w:hAnsi="Times New Roman" w:eastAsia="宋体" w:cs="Times New Roman"/>
                <w:color w:val="auto"/>
                <w:szCs w:val="21"/>
                <w:lang w:val="en-US" w:eastAsia="zh-CN"/>
              </w:rPr>
              <w:t>奖</w:t>
            </w:r>
          </w:p>
        </w:tc>
        <w:tc>
          <w:tcPr>
            <w:tcW w:w="1200" w:type="dxa"/>
            <w:vAlign w:val="center"/>
          </w:tcPr>
          <w:p w14:paraId="45C5967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4AF7D7B5">
            <w:pPr>
              <w:adjustRightInd w:val="0"/>
              <w:snapToGrid w:val="0"/>
              <w:spacing w:line="276" w:lineRule="auto"/>
              <w:jc w:val="center"/>
              <w:rPr>
                <w:color w:val="auto"/>
                <w:szCs w:val="21"/>
              </w:rPr>
            </w:pP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25EF2669">
            <w:pPr>
              <w:adjustRightInd w:val="0"/>
              <w:snapToGrid w:val="0"/>
              <w:spacing w:line="276" w:lineRule="auto"/>
              <w:rPr>
                <w:rFonts w:hint="eastAsia"/>
                <w:color w:val="000000" w:themeColor="text1"/>
                <w:szCs w:val="21"/>
                <w14:textFill>
                  <w14:solidFill>
                    <w14:schemeClr w14:val="tx1"/>
                  </w14:solidFill>
                </w14:textFill>
              </w:rPr>
            </w:pPr>
            <w:r>
              <w:rPr>
                <w:rFonts w:hint="eastAsia"/>
                <w:color w:val="auto"/>
                <w:szCs w:val="21"/>
                <w:lang w:val="en-US" w:eastAsia="zh-CN"/>
              </w:rPr>
              <w:t>3-6-3指导学生参加创新创业训练计划等项目</w:t>
            </w:r>
            <w:r>
              <w:rPr>
                <w:rFonts w:hint="eastAsia"/>
                <w:b/>
                <w:bCs/>
                <w:color w:val="auto"/>
                <w:szCs w:val="21"/>
                <w:lang w:val="en-US" w:eastAsia="zh-CN"/>
              </w:rPr>
              <w:t>（无）</w:t>
            </w:r>
          </w:p>
        </w:tc>
        <w:tc>
          <w:tcPr>
            <w:tcW w:w="1200" w:type="dxa"/>
            <w:vAlign w:val="center"/>
          </w:tcPr>
          <w:p w14:paraId="39227B63">
            <w:pPr>
              <w:adjustRightInd w:val="0"/>
              <w:snapToGrid w:val="0"/>
              <w:spacing w:line="276" w:lineRule="auto"/>
              <w:jc w:val="center"/>
              <w:rPr>
                <w:szCs w:val="21"/>
              </w:rPr>
            </w:pPr>
          </w:p>
        </w:tc>
        <w:tc>
          <w:tcPr>
            <w:tcW w:w="1274" w:type="dxa"/>
            <w:vMerge w:val="continue"/>
            <w:vAlign w:val="center"/>
          </w:tcPr>
          <w:p w14:paraId="7B87ECAA">
            <w:pPr>
              <w:adjustRightInd w:val="0"/>
              <w:snapToGrid w:val="0"/>
              <w:spacing w:line="276" w:lineRule="auto"/>
              <w:jc w:val="center"/>
              <w:rPr>
                <w:color w:val="auto"/>
                <w:szCs w:val="21"/>
              </w:rPr>
            </w:pP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12DCCF1">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3-6-4体育学科指导学生参加比赛</w:t>
            </w:r>
            <w:r>
              <w:rPr>
                <w:rFonts w:hint="eastAsia"/>
                <w:b/>
                <w:bCs/>
                <w:color w:val="auto"/>
                <w:szCs w:val="21"/>
                <w:lang w:val="en-US" w:eastAsia="zh-CN"/>
              </w:rPr>
              <w:t>（无）</w:t>
            </w:r>
          </w:p>
        </w:tc>
        <w:tc>
          <w:tcPr>
            <w:tcW w:w="1200" w:type="dxa"/>
            <w:vAlign w:val="center"/>
          </w:tcPr>
          <w:p w14:paraId="67755DF1">
            <w:pPr>
              <w:adjustRightInd w:val="0"/>
              <w:snapToGrid w:val="0"/>
              <w:spacing w:line="276" w:lineRule="auto"/>
              <w:jc w:val="center"/>
              <w:rPr>
                <w:szCs w:val="21"/>
              </w:rPr>
            </w:pPr>
          </w:p>
        </w:tc>
        <w:tc>
          <w:tcPr>
            <w:tcW w:w="1274" w:type="dxa"/>
            <w:vMerge w:val="continue"/>
            <w:vAlign w:val="center"/>
          </w:tcPr>
          <w:p w14:paraId="28364C51">
            <w:pPr>
              <w:adjustRightInd w:val="0"/>
              <w:snapToGrid w:val="0"/>
              <w:spacing w:line="276" w:lineRule="auto"/>
              <w:jc w:val="center"/>
              <w:rPr>
                <w:color w:val="auto"/>
                <w:szCs w:val="21"/>
              </w:rPr>
            </w:pP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6D4BCF25">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学术期刊论文</w:t>
            </w:r>
          </w:p>
          <w:p w14:paraId="307DA20A">
            <w:pPr>
              <w:adjustRightInd w:val="0"/>
              <w:snapToGri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谢景林，《“走找想促”要用好三面“镜子”》[J]. 《新湘评论》,2023年第19期(4):31-32.（ISSN 1673-8713 CN43-1474/D）；计10分</w:t>
            </w:r>
          </w:p>
          <w:p w14:paraId="39AA4BC8">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[2]谢景林，《做好新时代市县政协工作要解答好三个问题》[N].人民政协报，2022-03-23，计10分</w:t>
            </w:r>
          </w:p>
          <w:p w14:paraId="1F410CEF">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[3]谢景林，《人民政协反映社情民意信息工作实践与研究》，省政协2023年度理论研究文集、省二等奖，2023.12，计5分</w:t>
            </w:r>
          </w:p>
          <w:p w14:paraId="79E3387B">
            <w:pPr>
              <w:adjustRightInd w:val="0"/>
              <w:snapToGrid w:val="0"/>
              <w:spacing w:line="276" w:lineRule="auto"/>
              <w:ind w:firstLine="420" w:firstLineChars="200"/>
              <w:rPr>
                <w:rFonts w:hint="default"/>
                <w:lang w:val="en-US" w:eastAsia="zh-CN"/>
              </w:rPr>
            </w:pPr>
            <w:r>
              <w:rPr>
                <w:rFonts w:hint="eastAsia"/>
                <w:color w:val="000000" w:themeColor="text1"/>
                <w:szCs w:val="21"/>
                <w:lang w:val="en-US" w:eastAsia="zh-CN"/>
                <w14:textFill>
                  <w14:solidFill>
                    <w14:schemeClr w14:val="tx1"/>
                  </w14:solidFill>
                </w14:textFill>
              </w:rPr>
              <w:t>[4]王  勇，《微建议“永州模式”研究》，省政协2022年度理论研究文集、省二等奖、市一等奖，2022.12，计5分</w:t>
            </w:r>
          </w:p>
          <w:p w14:paraId="1BF3490D">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[5]王  勇，《深入推进人民政协联系和服务群众工作》[N].湘声报，2022.7，计5分</w:t>
            </w:r>
          </w:p>
          <w:p w14:paraId="64738406">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[6]蒋善生，《打造委员工作室提质增效升级版》[N].湘声报，2020.09.26，计5分</w:t>
            </w:r>
          </w:p>
          <w:p w14:paraId="666D7299">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[7]谢景林，《高质量做好新时代政协宣传思想工作》[N].湘声报，2022.04.02，计5分</w:t>
            </w:r>
          </w:p>
          <w:p w14:paraId="5A25FAA3">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[8]桂砺锋，《深化“政协之为”助力社会治理现代化》[N].湘声报，2022.08.19，计5分</w:t>
            </w:r>
          </w:p>
          <w:p w14:paraId="55659BD2">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[9]谢景林，《广泛凝聚“跟党走”的思想政治共识》[N].永州日报，2022.09，计2分</w:t>
            </w:r>
          </w:p>
          <w:p w14:paraId="30DDB3A9">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[10]谢景林，《全面发展协商民主 展现专门协商机构担当作为》[N].永州日报，2022.11，计2分</w:t>
            </w:r>
          </w:p>
          <w:p w14:paraId="6B7758B6">
            <w:pPr>
              <w:adjustRightInd w:val="0"/>
              <w:snapToGrid w:val="0"/>
              <w:spacing w:line="276" w:lineRule="auto"/>
              <w:ind w:firstLine="420" w:firstLineChars="200"/>
              <w:rPr>
                <w:rFonts w:hint="default"/>
                <w:color w:val="000000" w:themeColor="text1"/>
                <w:szCs w:val="21"/>
                <w:lang w:val="en-US"/>
                <w14:textFill>
                  <w14:solidFill>
                    <w14:schemeClr w14:val="tx1"/>
                  </w14:solidFill>
                </w14:textFill>
              </w:rPr>
            </w:pPr>
            <w:r>
              <w:rPr>
                <w:rFonts w:hint="eastAsia"/>
                <w:color w:val="000000" w:themeColor="text1"/>
                <w:szCs w:val="21"/>
                <w:lang w:val="en-US" w:eastAsia="zh-CN"/>
                <w14:textFill>
                  <w14:solidFill>
                    <w14:schemeClr w14:val="tx1"/>
                  </w14:solidFill>
                </w14:textFill>
              </w:rPr>
              <w:t>[11]王  勇，《舍得之道》[N].永州日报，2024.12.20，计2分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56</w:t>
            </w:r>
          </w:p>
        </w:tc>
        <w:tc>
          <w:tcPr>
            <w:tcW w:w="1274" w:type="dxa"/>
            <w:vAlign w:val="center"/>
          </w:tcPr>
          <w:p w14:paraId="374D219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36B2AC4A">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4-2-1学术著作（学术专著、编著和译著）：</w:t>
            </w:r>
          </w:p>
          <w:p w14:paraId="5DAAB3C0">
            <w:pPr>
              <w:adjustRightInd w:val="0"/>
              <w:snapToGrid w:val="0"/>
              <w:spacing w:line="276" w:lineRule="auto"/>
              <w:ind w:firstLine="420" w:firstLineChars="200"/>
              <w:rPr>
                <w:color w:val="auto"/>
                <w:szCs w:val="21"/>
              </w:rPr>
            </w:pPr>
            <w:r>
              <w:rPr>
                <w:rFonts w:hint="eastAsia"/>
                <w:color w:val="000000" w:themeColor="text1"/>
                <w:szCs w:val="21"/>
                <w:lang w:val="en-US" w:eastAsia="zh-CN"/>
                <w14:textFill>
                  <w14:solidFill>
                    <w14:schemeClr w14:val="tx1"/>
                  </w14:solidFill>
                </w14:textFill>
              </w:rPr>
              <w:t>主编：刘翼平，参编：徐华慧，万汝青，王勇，《永州市政协志》，方志出版社（国家级出版社），449千字， 2023.03；计3分</w:t>
            </w:r>
          </w:p>
        </w:tc>
        <w:tc>
          <w:tcPr>
            <w:tcW w:w="1200" w:type="dxa"/>
            <w:vAlign w:val="center"/>
          </w:tcPr>
          <w:p w14:paraId="4E400331">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4-3</w:t>
            </w:r>
          </w:p>
          <w:p w14:paraId="0C3F595A">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（注意计分封顶）</w:t>
            </w:r>
          </w:p>
        </w:tc>
        <w:tc>
          <w:tcPr>
            <w:tcW w:w="14536" w:type="dxa"/>
            <w:gridSpan w:val="10"/>
            <w:vAlign w:val="center"/>
          </w:tcPr>
          <w:p w14:paraId="694ECFAD">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4-3-1原创作品、产品</w:t>
            </w:r>
          </w:p>
          <w:p w14:paraId="744E864C">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1）王勇，2023年李商隐诗“金句今对”春季比赛“优秀奖”（无一、二、三等奖），沁阳市文化广电和旅游局、文化馆举办，市级，计1分；</w:t>
            </w:r>
          </w:p>
          <w:p w14:paraId="72F8C3A6">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2）王勇，2023年李商隐诗“金句今对”夏季比赛“优秀奖”（无一、二、三等奖），沁阳市文化广电和旅游局、文化馆举办，市级，计1分；</w:t>
            </w:r>
          </w:p>
          <w:p w14:paraId="67917AF3">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3）王勇，2021年6月，“我的祖国我的党”格律诗词全国征稿大赛，入围奖，深圳市诗词学会，市级，计1分</w:t>
            </w:r>
          </w:p>
          <w:p w14:paraId="15D61131">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4）顾明、王勇、潘萍，2025.05，国开《九嶷木雕：笔刀话春秋》非遗作品入选国开优秀作品资源库，省级，计3分</w:t>
            </w:r>
          </w:p>
          <w:p w14:paraId="76683C5E">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5）王勇，2020年度全市政协好新闻，《往基层延伸，永州打造委员工作室“升级版”》，永州市政协办公室，市级，计1分</w:t>
            </w:r>
          </w:p>
          <w:p w14:paraId="6441CA5D">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6）委员学习联络委（王勇），2020年1月，优秀提案，《关于做活做好湘桂古道零陵段文章的提案》，永州市政协，计1分</w:t>
            </w:r>
          </w:p>
        </w:tc>
        <w:tc>
          <w:tcPr>
            <w:tcW w:w="1200" w:type="dxa"/>
            <w:vAlign w:val="center"/>
          </w:tcPr>
          <w:p w14:paraId="46AE610D">
            <w:pPr>
              <w:adjustRightInd w:val="0"/>
              <w:snapToGrid w:val="0"/>
              <w:spacing w:line="276" w:lineRule="auto"/>
              <w:jc w:val="center"/>
              <w:rPr>
                <w:rFonts w:hint="eastAsia" w:eastAsia="宋体"/>
                <w:szCs w:val="21"/>
                <w:lang w:val="en-US" w:eastAsia="zh-CN"/>
              </w:rPr>
            </w:pPr>
            <w:r>
              <w:rPr>
                <w:rFonts w:hint="eastAsia"/>
                <w:szCs w:val="21"/>
                <w:lang w:val="en-US" w:eastAsia="zh-CN"/>
              </w:rPr>
              <w:t>8</w:t>
            </w:r>
          </w:p>
        </w:tc>
        <w:tc>
          <w:tcPr>
            <w:tcW w:w="1274" w:type="dxa"/>
            <w:vAlign w:val="center"/>
          </w:tcPr>
          <w:p w14:paraId="1D2909C3">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rFonts w:hint="default"/>
                <w:color w:val="auto"/>
                <w:szCs w:val="21"/>
                <w:lang w:val="en-US"/>
              </w:rPr>
            </w:pPr>
            <w:r>
              <w:rPr>
                <w:rFonts w:hint="eastAsia"/>
                <w:color w:val="000000" w:themeColor="text1"/>
                <w:szCs w:val="21"/>
                <w:lang w:val="en-US" w:eastAsia="zh-CN"/>
                <w14:textFill>
                  <w14:solidFill>
                    <w14:schemeClr w14:val="tx1"/>
                  </w14:solidFill>
                </w14:textFill>
              </w:rPr>
              <w:t>4-3-2非原创作品、产品</w:t>
            </w:r>
            <w:r>
              <w:rPr>
                <w:rFonts w:hint="eastAsia"/>
                <w:b/>
                <w:bCs/>
                <w:color w:val="000000" w:themeColor="text1"/>
                <w:szCs w:val="21"/>
                <w:lang w:val="en-US" w:eastAsia="zh-CN"/>
                <w14:textFill>
                  <w14:solidFill>
                    <w14:schemeClr w14:val="tx1"/>
                  </w14:solidFill>
                </w14:textFill>
              </w:rPr>
              <w:t>（无）</w:t>
            </w:r>
          </w:p>
        </w:tc>
        <w:tc>
          <w:tcPr>
            <w:tcW w:w="1200" w:type="dxa"/>
            <w:vAlign w:val="center"/>
          </w:tcPr>
          <w:p w14:paraId="40ED6E66">
            <w:pPr>
              <w:adjustRightInd w:val="0"/>
              <w:snapToGrid w:val="0"/>
              <w:spacing w:line="276" w:lineRule="auto"/>
              <w:jc w:val="center"/>
              <w:rPr>
                <w:szCs w:val="21"/>
              </w:rPr>
            </w:pPr>
          </w:p>
        </w:tc>
        <w:tc>
          <w:tcPr>
            <w:tcW w:w="1274" w:type="dxa"/>
            <w:vAlign w:val="center"/>
          </w:tcPr>
          <w:p w14:paraId="1D49F3C3">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5B536E22">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纵向科研项目（含科研、教改等项目）</w:t>
            </w:r>
          </w:p>
          <w:p w14:paraId="172C92B0">
            <w:pPr>
              <w:numPr>
                <w:ilvl w:val="0"/>
                <w:numId w:val="3"/>
              </w:numPr>
              <w:adjustRightInd w:val="0"/>
              <w:snapToGrid w:val="0"/>
              <w:spacing w:line="276" w:lineRule="auto"/>
              <w:ind w:firstLine="420" w:firstLineChars="200"/>
              <w:rPr>
                <w:rFonts w:hint="default"/>
                <w:lang w:val="en-US"/>
              </w:rPr>
            </w:pPr>
            <w:r>
              <w:rPr>
                <w:rFonts w:hint="eastAsia"/>
                <w:color w:val="000000" w:themeColor="text1"/>
                <w:szCs w:val="21"/>
                <w:lang w:val="en-US" w:eastAsia="zh-CN"/>
                <w14:textFill>
                  <w14:solidFill>
                    <w14:schemeClr w14:val="tx1"/>
                  </w14:solidFill>
                </w14:textFill>
              </w:rPr>
              <w:t>王勇，纵向项目，结题证书号202304A，《完善政协委员联系界别群众的制度机制》，2023/01-2023/12，获资助金额2万元，结题，主要参与，省级重点课题，计10分；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7F110803">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2100971">
            <w:pPr>
              <w:adjustRightInd w:val="0"/>
              <w:snapToGrid w:val="0"/>
              <w:spacing w:line="276" w:lineRule="auto"/>
              <w:rPr>
                <w:rFonts w:hint="default"/>
                <w:color w:val="auto"/>
                <w:szCs w:val="21"/>
                <w:lang w:val="en-US" w:eastAsia="zh-CN"/>
              </w:rPr>
            </w:pPr>
            <w:r>
              <w:rPr>
                <w:rFonts w:hint="eastAsia" w:asciiTheme="minorEastAsia" w:hAnsiTheme="minorEastAsia" w:eastAsiaTheme="minorEastAsia"/>
                <w:color w:val="auto"/>
                <w:szCs w:val="21"/>
                <w:lang w:val="en-US" w:eastAsia="zh-CN"/>
              </w:rPr>
              <w:t>横向项目</w:t>
            </w:r>
          </w:p>
          <w:p w14:paraId="1BE2BD90">
            <w:pPr>
              <w:numPr>
                <w:ilvl w:val="0"/>
                <w:numId w:val="4"/>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王勇，横向项目，市委重点课题调研《“建设永州国际陆港  打造中西部地区内陆开放合作示范区”调研报告》，2022/01-2022/07，5万元，已结题，执笔；计3分</w:t>
            </w:r>
          </w:p>
          <w:p w14:paraId="1FCCDDE6">
            <w:pPr>
              <w:numPr>
                <w:ilvl w:val="0"/>
                <w:numId w:val="4"/>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王勇，横向项目，市委重点课题调研《全力扩大周敦颐世界影响力调研报告》，2023/01-2023/09，5万元，已结题，执笔；计3分</w:t>
            </w:r>
          </w:p>
          <w:p w14:paraId="3FC185D9">
            <w:pPr>
              <w:numPr>
                <w:ilvl w:val="0"/>
                <w:numId w:val="4"/>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王勇，横向项目，市委重点课题调研“周敦颐遗迹遗址地政协协商协作会议”，2024/05-2024/09，20万元以上，已结题，重要参与，计5分</w:t>
            </w:r>
          </w:p>
          <w:p w14:paraId="795CFD48">
            <w:pPr>
              <w:numPr>
                <w:ilvl w:val="0"/>
                <w:numId w:val="4"/>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王勇，横向项目，市委重点课题调研《关于“融入粤港澳大湾区，大力实施农‘产品走出去’工程”调研报告》，2022/01-2022/10，5万元，已结题，执笔；计3分</w:t>
            </w:r>
          </w:p>
          <w:p w14:paraId="0B22F40E">
            <w:pPr>
              <w:numPr>
                <w:ilvl w:val="0"/>
                <w:numId w:val="4"/>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王勇，横向项目，市政协专题协商课题调研《提升智慧智能农机社会化服务水平调研报告》，2023/01-2023/07，2万元，已结题，执笔；计2分</w:t>
            </w:r>
          </w:p>
          <w:p w14:paraId="0A73BC2E">
            <w:pPr>
              <w:numPr>
                <w:ilvl w:val="0"/>
                <w:numId w:val="4"/>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王勇，横向项目，市政协专门课题调研《进一步管好用好委员工作室的调研报告》，2020/01-2020/09，2万元，已结题，执笔；计2分</w:t>
            </w:r>
          </w:p>
          <w:p w14:paraId="6F3599A7">
            <w:pPr>
              <w:numPr>
                <w:ilvl w:val="0"/>
                <w:numId w:val="4"/>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王勇，横向项目，市政协专门课题调研《全市委员工作室建设管理运行情况监督报告》，2021/01-2021/09，2万元，已结题，执笔；计2分</w:t>
            </w:r>
          </w:p>
        </w:tc>
        <w:tc>
          <w:tcPr>
            <w:tcW w:w="1200" w:type="dxa"/>
            <w:vAlign w:val="center"/>
          </w:tcPr>
          <w:p w14:paraId="53E56880">
            <w:pPr>
              <w:adjustRightInd w:val="0"/>
              <w:snapToGrid w:val="0"/>
              <w:spacing w:line="276" w:lineRule="auto"/>
              <w:jc w:val="center"/>
              <w:rPr>
                <w:rFonts w:hint="default" w:eastAsia="宋体"/>
                <w:szCs w:val="21"/>
                <w:lang w:val="en-US" w:eastAsia="zh-CN"/>
              </w:rPr>
            </w:pPr>
            <w:r>
              <w:rPr>
                <w:rFonts w:hint="eastAsia"/>
                <w:szCs w:val="21"/>
                <w:lang w:val="en-US" w:eastAsia="zh-CN"/>
              </w:rPr>
              <w:t>20</w:t>
            </w:r>
          </w:p>
        </w:tc>
        <w:tc>
          <w:tcPr>
            <w:tcW w:w="1274" w:type="dxa"/>
            <w:vAlign w:val="center"/>
          </w:tcPr>
          <w:p w14:paraId="08C20BEA">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462DC5A3">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成果奖励</w:t>
            </w:r>
          </w:p>
          <w:p w14:paraId="54AF518A">
            <w:pPr>
              <w:numPr>
                <w:ilvl w:val="0"/>
                <w:numId w:val="5"/>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bookmarkStart w:id="4" w:name="OLE_LINK5"/>
            <w:r>
              <w:rPr>
                <w:rFonts w:hint="eastAsia"/>
                <w:color w:val="000000" w:themeColor="text1"/>
                <w:szCs w:val="21"/>
                <w:lang w:val="en-US" w:eastAsia="zh-CN"/>
                <w14:textFill>
                  <w14:solidFill>
                    <w14:schemeClr w14:val="tx1"/>
                  </w14:solidFill>
                </w14:textFill>
              </w:rPr>
              <w:t>谢景林、桂砺锋、陈少勇、王勇、陶洪云、廖阳迪，《完善政协委员联系界别群众的制度机制》，省政协办公厅，优秀课题，2023.12；</w:t>
            </w:r>
            <w:bookmarkEnd w:id="4"/>
            <w:r>
              <w:rPr>
                <w:rFonts w:hint="eastAsia"/>
                <w:color w:val="000000" w:themeColor="text1"/>
                <w:szCs w:val="21"/>
                <w:lang w:val="en-US" w:eastAsia="zh-CN"/>
                <w14:textFill>
                  <w14:solidFill>
                    <w14:schemeClr w14:val="tx1"/>
                  </w14:solidFill>
                </w14:textFill>
              </w:rPr>
              <w:t>计6分</w:t>
            </w:r>
          </w:p>
          <w:p w14:paraId="17819986">
            <w:pPr>
              <w:numPr>
                <w:ilvl w:val="0"/>
                <w:numId w:val="5"/>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永州市政协，《“建设永州国际陆港  打造中西部地区内陆开放合作示范区”调研报告》，省政协办公厅，省、市政协一等奖，2022.12；计6分</w:t>
            </w:r>
          </w:p>
          <w:p w14:paraId="73EB7179">
            <w:pPr>
              <w:numPr>
                <w:ilvl w:val="0"/>
                <w:numId w:val="5"/>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永州市政协，《全力扩大周敦颐世界影响力调研报告》，省政协办公厅，省、市政协二等奖，2023.12；计2分</w:t>
            </w:r>
          </w:p>
          <w:p w14:paraId="44A2956B">
            <w:pPr>
              <w:numPr>
                <w:ilvl w:val="0"/>
                <w:numId w:val="5"/>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永州市政协，《关于“融入粤港澳大湾区，大力实施农‘产品走出去’工程”调研报告》，省政协办公厅，省、市政协二等奖，2022.12；计2分</w:t>
            </w:r>
          </w:p>
          <w:p w14:paraId="16266CAF">
            <w:pPr>
              <w:numPr>
                <w:ilvl w:val="0"/>
                <w:numId w:val="5"/>
              </w:numPr>
              <w:adjustRightInd w:val="0"/>
              <w:snapToGrid w:val="0"/>
              <w:spacing w:line="276" w:lineRule="auto"/>
              <w:ind w:firstLine="420" w:firstLineChars="200"/>
              <w:rPr>
                <w:rFonts w:hint="default"/>
                <w:lang w:val="en-US" w:eastAsia="zh-CN"/>
              </w:rPr>
            </w:pPr>
            <w:r>
              <w:rPr>
                <w:rFonts w:hint="eastAsia"/>
                <w:color w:val="000000" w:themeColor="text1"/>
                <w:szCs w:val="21"/>
                <w:lang w:val="en-US" w:eastAsia="zh-CN"/>
                <w14:textFill>
                  <w14:solidFill>
                    <w14:schemeClr w14:val="tx1"/>
                  </w14:solidFill>
                </w14:textFill>
              </w:rPr>
              <w:t>永州市政协，“习近平总书记关于加强和改进人民政协工作的重要思想实践基地”建设工作，政协湖南省委员会，优秀等次，2022.09；计6分</w:t>
            </w:r>
          </w:p>
          <w:p w14:paraId="05D6D786">
            <w:pPr>
              <w:numPr>
                <w:ilvl w:val="0"/>
                <w:numId w:val="5"/>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永州市政协，《政协云履职的永州实践》市县政协工作创新案例，省政协办公厅，省政协一等奖，2023.12；计6分</w:t>
            </w:r>
          </w:p>
          <w:p w14:paraId="3ED67C5F">
            <w:pPr>
              <w:numPr>
                <w:ilvl w:val="0"/>
                <w:numId w:val="5"/>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永州市政协，获2022年度全省政协系统反映社情民工作先进单位，省政协办公厅,先进单位（三等奖），2022.12；计4分</w:t>
            </w:r>
          </w:p>
          <w:p w14:paraId="09261647">
            <w:pPr>
              <w:numPr>
                <w:ilvl w:val="0"/>
                <w:numId w:val="5"/>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唐箭委员工作室，获评全省“最受群众关注委员工作室”，首届人民政协优秀委员工作室，人民政协报社、省政协，2021.07；计10分</w:t>
            </w:r>
          </w:p>
          <w:p w14:paraId="699BDB70">
            <w:pPr>
              <w:numPr>
                <w:ilvl w:val="0"/>
                <w:numId w:val="5"/>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永州市政协机关党委，获“湖南省先进基层党组织”荣誉称号，中共湖南省委，2021.06.30；计6分</w:t>
            </w:r>
          </w:p>
          <w:p w14:paraId="54B2FCB2">
            <w:pPr>
              <w:numPr>
                <w:ilvl w:val="0"/>
                <w:numId w:val="5"/>
              </w:numPr>
              <w:adjustRightInd w:val="0"/>
              <w:snapToGrid w:val="0"/>
              <w:spacing w:line="276" w:lineRule="auto"/>
              <w:ind w:firstLine="420" w:firstLineChars="200"/>
              <w:rPr>
                <w:rFonts w:hint="default"/>
                <w:lang w:val="en-US" w:eastAsia="zh-CN"/>
              </w:rPr>
            </w:pPr>
            <w:r>
              <w:rPr>
                <w:rFonts w:hint="eastAsia"/>
                <w:color w:val="000000" w:themeColor="text1"/>
                <w:szCs w:val="21"/>
                <w:lang w:val="en-US" w:eastAsia="zh-CN"/>
                <w14:textFill>
                  <w14:solidFill>
                    <w14:schemeClr w14:val="tx1"/>
                  </w14:solidFill>
                </w14:textFill>
              </w:rPr>
              <w:t>市政协机关二支部，市直机关党支部“五化”建设“示范性党支部”，市直属机关工委，2021.02；计2分</w:t>
            </w:r>
          </w:p>
          <w:p w14:paraId="3D8F067D">
            <w:pPr>
              <w:numPr>
                <w:ilvl w:val="0"/>
                <w:numId w:val="5"/>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王勇，2022年度全省政协反映社情民意工作先进个人，省政协办公厅，2022.12；计10分</w:t>
            </w:r>
          </w:p>
          <w:p w14:paraId="0DAD67AA">
            <w:pPr>
              <w:numPr>
                <w:ilvl w:val="0"/>
                <w:numId w:val="5"/>
              </w:numPr>
              <w:adjustRightInd w:val="0"/>
              <w:snapToGrid w:val="0"/>
              <w:spacing w:line="276" w:lineRule="auto"/>
              <w:ind w:firstLine="420" w:firstLineChars="200"/>
              <w:rPr>
                <w:rFonts w:hint="default"/>
                <w:lang w:val="en-US" w:eastAsia="zh-CN"/>
              </w:rPr>
            </w:pPr>
            <w:r>
              <w:rPr>
                <w:rFonts w:hint="eastAsia"/>
                <w:color w:val="000000" w:themeColor="text1"/>
                <w:szCs w:val="21"/>
                <w:lang w:val="en-US" w:eastAsia="zh-CN"/>
                <w14:textFill>
                  <w14:solidFill>
                    <w14:schemeClr w14:val="tx1"/>
                  </w14:solidFill>
                </w14:textFill>
              </w:rPr>
              <w:t>王勇，2023年度全省政协反映社情民意工作先进个人，省政协办公厅，2023.12；计10分</w:t>
            </w:r>
          </w:p>
        </w:tc>
        <w:tc>
          <w:tcPr>
            <w:tcW w:w="1200" w:type="dxa"/>
            <w:vAlign w:val="center"/>
          </w:tcPr>
          <w:p w14:paraId="30B56F5B">
            <w:pPr>
              <w:adjustRightInd w:val="0"/>
              <w:snapToGrid w:val="0"/>
              <w:spacing w:line="276" w:lineRule="auto"/>
              <w:jc w:val="center"/>
              <w:rPr>
                <w:rFonts w:hint="default" w:eastAsia="宋体"/>
                <w:szCs w:val="21"/>
                <w:lang w:val="en-US" w:eastAsia="zh-CN"/>
              </w:rPr>
            </w:pPr>
            <w:r>
              <w:rPr>
                <w:rFonts w:hint="eastAsia"/>
                <w:szCs w:val="21"/>
                <w:lang w:val="en-US" w:eastAsia="zh-CN"/>
              </w:rPr>
              <w:t>70</w:t>
            </w:r>
          </w:p>
        </w:tc>
        <w:tc>
          <w:tcPr>
            <w:tcW w:w="1274" w:type="dxa"/>
            <w:vAlign w:val="center"/>
          </w:tcPr>
          <w:p w14:paraId="3993CEED">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48F4F5F9">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成果转化</w:t>
            </w:r>
            <w:r>
              <w:rPr>
                <w:rFonts w:hint="eastAsia"/>
                <w:b/>
                <w:bCs/>
                <w:color w:val="000000" w:themeColor="text1"/>
                <w:szCs w:val="21"/>
                <w:lang w:val="en-US" w:eastAsia="zh-CN"/>
                <w14:textFill>
                  <w14:solidFill>
                    <w14:schemeClr w14:val="tx1"/>
                  </w14:solidFill>
                </w14:textFill>
              </w:rPr>
              <w:t>（无）</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1CEE5CCA">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咨询报告或领导批示</w:t>
            </w:r>
          </w:p>
          <w:p w14:paraId="406038E8">
            <w:pPr>
              <w:numPr>
                <w:ilvl w:val="0"/>
                <w:numId w:val="0"/>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1）2024，《关于重视解决事实收养问题的建议》社情民意信息，（省政协《社情民意》第435期、（湘协办发电〔2025〕1号专报全国政协，计100分</w:t>
            </w:r>
          </w:p>
          <w:p w14:paraId="22758114">
            <w:pPr>
              <w:numPr>
                <w:ilvl w:val="0"/>
                <w:numId w:val="0"/>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2）2022.07.15，《2022年上半年工作情况汇报》，省级领导批示，计60分</w:t>
            </w:r>
          </w:p>
          <w:p w14:paraId="50C640F4">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3）2022.08，《“建设永州国际陆港  打造中西部地区内陆开放合作示范区”调研报告》，市委市政府主要领导批示，计30分</w:t>
            </w:r>
          </w:p>
          <w:p w14:paraId="7F7DAB0C">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4）2023.11，《全力扩大周敦颐世界影响力调研报告》，市委市政府主要领导批示，永州日报摘要刊发，永州通讯刊发，计30分</w:t>
            </w:r>
          </w:p>
          <w:p w14:paraId="3D26567E">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5）2022.10，《关于“融入粤港澳大湾区，大力实施农‘产品走出去’工程”调研报告》，市委市政府主要领导批示，计30分</w:t>
            </w:r>
          </w:p>
          <w:p w14:paraId="7AA3CEF0">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6）2023.08-10，《提升智慧智能农机社会化服务水平调研报告》，省级副职领导、市委市政府主要领导批示，计30分</w:t>
            </w:r>
          </w:p>
          <w:p w14:paraId="08819638">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7）2022.01，《加强心理健康教育，让广大学生更加健康阳光》委员大会发言，市委主要领导批示，永州智库专报，永州市教育局专文办理、答复，计30分</w:t>
            </w:r>
          </w:p>
          <w:p w14:paraId="5C210BB7">
            <w:pPr>
              <w:pStyle w:val="2"/>
              <w:rPr>
                <w:rFonts w:hint="eastAsia"/>
                <w:lang w:val="en-US" w:eastAsia="zh-CN"/>
              </w:rPr>
            </w:pPr>
            <w:r>
              <w:rPr>
                <w:rFonts w:hint="eastAsia"/>
                <w:lang w:val="en-US" w:eastAsia="zh-CN"/>
              </w:rPr>
              <w:t>8）2021.01  《用好红色文化资源，激活红色发展动能》委员大会发言，市委市政府主要领导批示，永州日报刊发，计30分</w:t>
            </w:r>
          </w:p>
          <w:p w14:paraId="5F5BAF13">
            <w:pPr>
              <w:pStyle w:val="2"/>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9）2023.06.25，《关于加强农村生活污水处理的建议》社情民意信息，副省级领导</w:t>
            </w:r>
            <w:bookmarkStart w:id="5" w:name="_GoBack"/>
            <w:bookmarkEnd w:id="5"/>
            <w:r>
              <w:rPr>
                <w:rFonts w:hint="eastAsia"/>
                <w:color w:val="000000" w:themeColor="text1"/>
                <w:szCs w:val="21"/>
                <w:lang w:val="en-US" w:eastAsia="zh-CN"/>
                <w14:textFill>
                  <w14:solidFill>
                    <w14:schemeClr w14:val="tx1"/>
                  </w14:solidFill>
                </w14:textFill>
              </w:rPr>
              <w:t>批示，计10分</w:t>
            </w:r>
          </w:p>
          <w:p w14:paraId="765DB131">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10）2023.01.20，《关于引导规范民办教育健康发展的建议》社情民意信息，副市长批示，计5分</w:t>
            </w:r>
          </w:p>
          <w:p w14:paraId="31CF88DA">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11）2022.07.05，《关于建立吸毒人员子女爱心帮扶机制的建议》社情民意信息，副市长批示，计5分</w:t>
            </w:r>
          </w:p>
          <w:p w14:paraId="724FFCC1">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12）2022.07.05，《关于司法调解离婚应同样需适用“冷静期”的建议》社情民意信息，副市长批示，计5分</w:t>
            </w:r>
          </w:p>
          <w:p w14:paraId="327B26E7">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13）2022.08.11，《村医“不会看病，不愿看病”现象亟待重视》社情民意信息，副市长批示，计5分</w:t>
            </w:r>
          </w:p>
          <w:p w14:paraId="69052C29">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14）2023.07.20，《关于改善中小学生营养午餐的建议》社情民意信息，副市长批示，计5分</w:t>
            </w:r>
          </w:p>
          <w:p w14:paraId="0BE11792">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15）2023.07.20，《特殊时期“购药难”不容小觑》社情民意信息，副市长批示，计5分</w:t>
            </w:r>
          </w:p>
          <w:p w14:paraId="1414DBA1">
            <w:pPr>
              <w:numPr>
                <w:ilvl w:val="0"/>
                <w:numId w:val="0"/>
              </w:numPr>
              <w:adjustRightInd w:val="0"/>
              <w:snapToGrid w:val="0"/>
              <w:spacing w:line="276" w:lineRule="auto"/>
              <w:rPr>
                <w:rFonts w:hint="default" w:ascii="宋体"/>
                <w:color w:val="auto"/>
                <w:sz w:val="18"/>
                <w:szCs w:val="18"/>
                <w:lang w:val="en-US" w:eastAsia="zh-CN"/>
              </w:rPr>
            </w:pPr>
            <w:r>
              <w:rPr>
                <w:rFonts w:hint="eastAsia"/>
                <w:color w:val="000000" w:themeColor="text1"/>
                <w:szCs w:val="21"/>
                <w:lang w:val="en-US" w:eastAsia="zh-CN"/>
                <w14:textFill>
                  <w14:solidFill>
                    <w14:schemeClr w14:val="tx1"/>
                  </w14:solidFill>
                </w14:textFill>
              </w:rPr>
              <w:t>16）2023.07.20，《加强校医务室建设的建议》社情民意信息，副市长批示，计5分</w:t>
            </w:r>
          </w:p>
        </w:tc>
        <w:tc>
          <w:tcPr>
            <w:tcW w:w="1200" w:type="dxa"/>
            <w:vAlign w:val="center"/>
          </w:tcPr>
          <w:p w14:paraId="32216470">
            <w:pPr>
              <w:adjustRightInd w:val="0"/>
              <w:snapToGrid w:val="0"/>
              <w:spacing w:line="276" w:lineRule="auto"/>
              <w:jc w:val="center"/>
              <w:rPr>
                <w:rFonts w:hint="default" w:eastAsia="宋体"/>
                <w:szCs w:val="21"/>
                <w:lang w:val="en-US" w:eastAsia="zh-CN"/>
              </w:rPr>
            </w:pPr>
            <w:r>
              <w:rPr>
                <w:rFonts w:hint="eastAsia"/>
                <w:szCs w:val="21"/>
                <w:lang w:val="en-US" w:eastAsia="zh-CN"/>
              </w:rPr>
              <w:t>355</w:t>
            </w:r>
          </w:p>
        </w:tc>
        <w:tc>
          <w:tcPr>
            <w:tcW w:w="1274" w:type="dxa"/>
            <w:vAlign w:val="center"/>
          </w:tcPr>
          <w:p w14:paraId="3D28B72D">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numPr>
                <w:ilvl w:val="0"/>
                <w:numId w:val="0"/>
              </w:num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担任科技特派员（无）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color w:val="auto"/>
                <w:szCs w:val="21"/>
              </w:rPr>
            </w:pPr>
            <w:r>
              <w:rPr>
                <w:rFonts w:hint="eastAsia"/>
                <w:color w:val="auto"/>
                <w:szCs w:val="21"/>
                <w:lang w:val="en-US" w:eastAsia="zh-CN"/>
              </w:rPr>
              <w:t>/</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5-1代表作审读</w:t>
            </w:r>
          </w:p>
        </w:tc>
        <w:tc>
          <w:tcPr>
            <w:tcW w:w="14536" w:type="dxa"/>
            <w:gridSpan w:val="10"/>
            <w:vAlign w:val="center"/>
          </w:tcPr>
          <w:p w14:paraId="2AB19F5D">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1.《关于重视解决事实收养问题的建议》</w:t>
            </w:r>
          </w:p>
          <w:p w14:paraId="6A70B50B">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2.《全力扩大周敦颐世界影响力调研报告》</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54AFB606">
      <w:pPr>
        <w:ind w:firstLine="413" w:firstLineChars="196"/>
        <w:jc w:val="left"/>
        <w:rPr>
          <w:b/>
          <w:szCs w:val="21"/>
        </w:rPr>
      </w:pPr>
      <w:r>
        <w:rPr>
          <w:rFonts w:hint="eastAsia"/>
          <w:b/>
          <w:szCs w:val="21"/>
        </w:rPr>
        <w:t>4.凡某项内容在多个二级指标中重复出现的，视为不如实填报。5.凡漏填扣分项的，视为隐瞒事实真相。</w:t>
      </w:r>
    </w:p>
    <w:p w14:paraId="23084164">
      <w:pPr>
        <w:ind w:firstLine="413" w:firstLineChars="196"/>
        <w:jc w:val="left"/>
        <w:rPr>
          <w:b/>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7F7E93C4-8A76-4BC8-AC46-209B6EC653B3}"/>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B7A8B4A6-BA3D-4645-9CAD-A4539CE11C5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64026C"/>
    <w:multiLevelType w:val="singleLevel"/>
    <w:tmpl w:val="C764026C"/>
    <w:lvl w:ilvl="0" w:tentative="0">
      <w:start w:val="1"/>
      <w:numFmt w:val="decimal"/>
      <w:lvlText w:val="[%1]"/>
      <w:lvlJc w:val="left"/>
      <w:pPr>
        <w:tabs>
          <w:tab w:val="left" w:pos="312"/>
        </w:tabs>
      </w:pPr>
    </w:lvl>
  </w:abstractNum>
  <w:abstractNum w:abstractNumId="1">
    <w:nsid w:val="FA0B7F82"/>
    <w:multiLevelType w:val="singleLevel"/>
    <w:tmpl w:val="FA0B7F82"/>
    <w:lvl w:ilvl="0" w:tentative="0">
      <w:start w:val="1"/>
      <w:numFmt w:val="decimal"/>
      <w:lvlText w:val="[%1]"/>
      <w:lvlJc w:val="left"/>
      <w:pPr>
        <w:tabs>
          <w:tab w:val="left" w:pos="312"/>
        </w:tabs>
      </w:pPr>
    </w:lvl>
  </w:abstractNum>
  <w:abstractNum w:abstractNumId="2">
    <w:nsid w:val="1DF4862A"/>
    <w:multiLevelType w:val="singleLevel"/>
    <w:tmpl w:val="1DF4862A"/>
    <w:lvl w:ilvl="0" w:tentative="0">
      <w:start w:val="1"/>
      <w:numFmt w:val="decimal"/>
      <w:lvlText w:val="[%1]"/>
      <w:lvlJc w:val="left"/>
      <w:pPr>
        <w:tabs>
          <w:tab w:val="left" w:pos="312"/>
        </w:tabs>
      </w:pPr>
    </w:lvl>
  </w:abstractNum>
  <w:abstractNum w:abstractNumId="3">
    <w:nsid w:val="42D100DF"/>
    <w:multiLevelType w:val="singleLevel"/>
    <w:tmpl w:val="42D100DF"/>
    <w:lvl w:ilvl="0" w:tentative="0">
      <w:start w:val="5"/>
      <w:numFmt w:val="decimal"/>
      <w:suff w:val="space"/>
      <w:lvlText w:val="%1)"/>
      <w:lvlJc w:val="left"/>
    </w:lvl>
  </w:abstractNum>
  <w:abstractNum w:abstractNumId="4">
    <w:nsid w:val="65FCC3F8"/>
    <w:multiLevelType w:val="singleLevel"/>
    <w:tmpl w:val="65FCC3F8"/>
    <w:lvl w:ilvl="0" w:tentative="0">
      <w:start w:val="3"/>
      <w:numFmt w:val="decimal"/>
      <w:suff w:val="space"/>
      <w:lvlText w:val="%1)"/>
      <w:lvlJc w:val="left"/>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DA9"/>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A0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4D24"/>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19B2611"/>
    <w:rsid w:val="019E1293"/>
    <w:rsid w:val="02B96468"/>
    <w:rsid w:val="04BB4853"/>
    <w:rsid w:val="06540256"/>
    <w:rsid w:val="06AA71FC"/>
    <w:rsid w:val="08DD6040"/>
    <w:rsid w:val="0B4167A2"/>
    <w:rsid w:val="0B4A3EA1"/>
    <w:rsid w:val="0B765D27"/>
    <w:rsid w:val="0B826B70"/>
    <w:rsid w:val="0CA42D4A"/>
    <w:rsid w:val="0CE172D1"/>
    <w:rsid w:val="0DE907B1"/>
    <w:rsid w:val="0F25287E"/>
    <w:rsid w:val="0F583E54"/>
    <w:rsid w:val="118E6D12"/>
    <w:rsid w:val="11EE03DD"/>
    <w:rsid w:val="120310A6"/>
    <w:rsid w:val="13086650"/>
    <w:rsid w:val="14B3682E"/>
    <w:rsid w:val="15331020"/>
    <w:rsid w:val="15DE6CEC"/>
    <w:rsid w:val="16331C36"/>
    <w:rsid w:val="16EF2001"/>
    <w:rsid w:val="18314777"/>
    <w:rsid w:val="1996446A"/>
    <w:rsid w:val="19BD0D56"/>
    <w:rsid w:val="1A352CAC"/>
    <w:rsid w:val="1A442663"/>
    <w:rsid w:val="1B5763C6"/>
    <w:rsid w:val="1BB630ED"/>
    <w:rsid w:val="1D9E0459"/>
    <w:rsid w:val="1E256308"/>
    <w:rsid w:val="1E446A54"/>
    <w:rsid w:val="1E894AE9"/>
    <w:rsid w:val="1EE77A61"/>
    <w:rsid w:val="1FCB2EDF"/>
    <w:rsid w:val="22194EB7"/>
    <w:rsid w:val="23BC3AB0"/>
    <w:rsid w:val="23E423D1"/>
    <w:rsid w:val="243467B4"/>
    <w:rsid w:val="24A93438"/>
    <w:rsid w:val="2513335E"/>
    <w:rsid w:val="25B2301B"/>
    <w:rsid w:val="273358F1"/>
    <w:rsid w:val="27813425"/>
    <w:rsid w:val="281D7F89"/>
    <w:rsid w:val="2879797C"/>
    <w:rsid w:val="28EE43D4"/>
    <w:rsid w:val="299F1868"/>
    <w:rsid w:val="2A722E0A"/>
    <w:rsid w:val="2A772858"/>
    <w:rsid w:val="2BE9306B"/>
    <w:rsid w:val="2C852B16"/>
    <w:rsid w:val="2EF7784D"/>
    <w:rsid w:val="2F611AB1"/>
    <w:rsid w:val="2F8161F0"/>
    <w:rsid w:val="2F9E416C"/>
    <w:rsid w:val="310821E5"/>
    <w:rsid w:val="3207424B"/>
    <w:rsid w:val="34311A53"/>
    <w:rsid w:val="34EF1396"/>
    <w:rsid w:val="355347CA"/>
    <w:rsid w:val="35A149B6"/>
    <w:rsid w:val="372431A9"/>
    <w:rsid w:val="377C3DBC"/>
    <w:rsid w:val="38164C1A"/>
    <w:rsid w:val="39886C4F"/>
    <w:rsid w:val="398E6FFF"/>
    <w:rsid w:val="3ABE1602"/>
    <w:rsid w:val="3D193084"/>
    <w:rsid w:val="3DFE0BF8"/>
    <w:rsid w:val="3E104D62"/>
    <w:rsid w:val="3E9E74C7"/>
    <w:rsid w:val="3EB61481"/>
    <w:rsid w:val="3F3DCAAD"/>
    <w:rsid w:val="3FE91433"/>
    <w:rsid w:val="408A0E14"/>
    <w:rsid w:val="40D4197F"/>
    <w:rsid w:val="40DB2C76"/>
    <w:rsid w:val="40F24318"/>
    <w:rsid w:val="41F60AD4"/>
    <w:rsid w:val="44130E01"/>
    <w:rsid w:val="44621D74"/>
    <w:rsid w:val="448B3A56"/>
    <w:rsid w:val="458D6C93"/>
    <w:rsid w:val="45AF476D"/>
    <w:rsid w:val="464975DB"/>
    <w:rsid w:val="46BC1650"/>
    <w:rsid w:val="48353277"/>
    <w:rsid w:val="48F36E7F"/>
    <w:rsid w:val="49090450"/>
    <w:rsid w:val="4A4144FF"/>
    <w:rsid w:val="4CBD1B44"/>
    <w:rsid w:val="4D534390"/>
    <w:rsid w:val="4DBA7040"/>
    <w:rsid w:val="4DD74FC1"/>
    <w:rsid w:val="4F8C6B6C"/>
    <w:rsid w:val="4F9D18F3"/>
    <w:rsid w:val="4FC839E5"/>
    <w:rsid w:val="4FF462D3"/>
    <w:rsid w:val="50175B49"/>
    <w:rsid w:val="5084660D"/>
    <w:rsid w:val="5274446C"/>
    <w:rsid w:val="53E50689"/>
    <w:rsid w:val="54380D30"/>
    <w:rsid w:val="54CA459C"/>
    <w:rsid w:val="558C284D"/>
    <w:rsid w:val="565F6965"/>
    <w:rsid w:val="59012EF2"/>
    <w:rsid w:val="5A243D5C"/>
    <w:rsid w:val="5A3B0686"/>
    <w:rsid w:val="5A706D61"/>
    <w:rsid w:val="5C514838"/>
    <w:rsid w:val="5C8D32DD"/>
    <w:rsid w:val="5D4F42C0"/>
    <w:rsid w:val="5E5835B4"/>
    <w:rsid w:val="5EA70098"/>
    <w:rsid w:val="5F015EC1"/>
    <w:rsid w:val="60363DC9"/>
    <w:rsid w:val="6093187E"/>
    <w:rsid w:val="63A423C9"/>
    <w:rsid w:val="64360E48"/>
    <w:rsid w:val="64CA2D32"/>
    <w:rsid w:val="64F95E79"/>
    <w:rsid w:val="6672542F"/>
    <w:rsid w:val="66D439F4"/>
    <w:rsid w:val="670026AE"/>
    <w:rsid w:val="675E7AF6"/>
    <w:rsid w:val="67DC0040"/>
    <w:rsid w:val="6801516A"/>
    <w:rsid w:val="69DF4B8A"/>
    <w:rsid w:val="6AEE5503"/>
    <w:rsid w:val="6BD70465"/>
    <w:rsid w:val="6C9A56E0"/>
    <w:rsid w:val="6C9C1458"/>
    <w:rsid w:val="6CF14970"/>
    <w:rsid w:val="6D3978A6"/>
    <w:rsid w:val="6E356C5C"/>
    <w:rsid w:val="6E7FD857"/>
    <w:rsid w:val="70710506"/>
    <w:rsid w:val="714D016C"/>
    <w:rsid w:val="718F50E7"/>
    <w:rsid w:val="71A3409C"/>
    <w:rsid w:val="720A4A7D"/>
    <w:rsid w:val="722B3457"/>
    <w:rsid w:val="727308BD"/>
    <w:rsid w:val="73656D60"/>
    <w:rsid w:val="73BF77DA"/>
    <w:rsid w:val="746500DA"/>
    <w:rsid w:val="749E06F5"/>
    <w:rsid w:val="752E4C17"/>
    <w:rsid w:val="75306BE1"/>
    <w:rsid w:val="75AA7A45"/>
    <w:rsid w:val="77BC650A"/>
    <w:rsid w:val="77C756F2"/>
    <w:rsid w:val="77D61C2C"/>
    <w:rsid w:val="78085BF3"/>
    <w:rsid w:val="79C478F8"/>
    <w:rsid w:val="7A523156"/>
    <w:rsid w:val="7AC91619"/>
    <w:rsid w:val="7B035A61"/>
    <w:rsid w:val="7B4260EC"/>
    <w:rsid w:val="7D781125"/>
    <w:rsid w:val="7F203823"/>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5058</Words>
  <Characters>5913</Characters>
  <Lines>30</Lines>
  <Paragraphs>8</Paragraphs>
  <TotalTime>4</TotalTime>
  <ScaleCrop>false</ScaleCrop>
  <LinksUpToDate>false</LinksUpToDate>
  <CharactersWithSpaces>6199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2025-08-17T12:25:00Z</cp:lastPrinted>
  <dcterms:modified xsi:type="dcterms:W3CDTF">2025-10-17T10:55:17Z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7A17FCB8CAAA405591DA974EF8003582_13</vt:lpwstr>
  </property>
  <property fmtid="{D5CDD505-2E9C-101B-9397-08002B2CF9AE}" pid="4" name="KSOTemplateDocerSaveRecord">
    <vt:lpwstr>eyJoZGlkIjoiMmEwNTI4MDkzNTczZGYyZGVhNmFjNjQ1MjY0MWMwZDMiLCJ1c2VySWQiOiIyOTI0NjM5In0=</vt:lpwstr>
  </property>
</Properties>
</file>